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B30" w:rsidRDefault="00442B30"/>
    <w:p w:rsidR="00442B30" w:rsidRDefault="00442B30" w:rsidP="00442B30">
      <w:pPr>
        <w:jc w:val="center"/>
      </w:pPr>
    </w:p>
    <w:p w:rsidR="00442B30" w:rsidRDefault="00442B30" w:rsidP="00442B30">
      <w:pPr>
        <w:jc w:val="center"/>
      </w:pPr>
      <w:r>
        <w:rPr>
          <w:noProof/>
          <w:lang w:eastAsia="fr-FR"/>
        </w:rPr>
        <w:drawing>
          <wp:inline distT="0" distB="0" distL="0" distR="0" wp14:anchorId="23C8DF12" wp14:editId="6C227F44">
            <wp:extent cx="1426866" cy="783602"/>
            <wp:effectExtent l="0" t="0" r="1905" b="0"/>
            <wp:docPr id="1" name="Image 1" descr="http://egram.cg91.fr/ressources/assistance-et-conseil/communication/PublishingImages/Logo_EssonneNoir150x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gram.cg91.fr/ressources/assistance-et-conseil/communication/PublishingImages/Logo_EssonneNoir150x8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6845" cy="783590"/>
                    </a:xfrm>
                    <a:prstGeom prst="rect">
                      <a:avLst/>
                    </a:prstGeom>
                    <a:noFill/>
                    <a:ln>
                      <a:noFill/>
                    </a:ln>
                  </pic:spPr>
                </pic:pic>
              </a:graphicData>
            </a:graphic>
          </wp:inline>
        </w:drawing>
      </w:r>
    </w:p>
    <w:p w:rsidR="00442B30" w:rsidRDefault="00442B30" w:rsidP="00442B30">
      <w:pPr>
        <w:jc w:val="center"/>
      </w:pPr>
    </w:p>
    <w:p w:rsidR="00A63C2D" w:rsidRDefault="00A63C2D" w:rsidP="00442B30">
      <w:pPr>
        <w:jc w:val="center"/>
      </w:pPr>
    </w:p>
    <w:p w:rsidR="00A63C2D" w:rsidRDefault="00A63C2D" w:rsidP="00442B30">
      <w:pPr>
        <w:jc w:val="center"/>
      </w:pPr>
    </w:p>
    <w:p w:rsidR="00A63C2D" w:rsidRDefault="00A63C2D" w:rsidP="00442B30">
      <w:pPr>
        <w:jc w:val="center"/>
      </w:pPr>
    </w:p>
    <w:p w:rsidR="00442B30" w:rsidRPr="00A63C2D" w:rsidRDefault="00442B30" w:rsidP="00442B30">
      <w:pPr>
        <w:jc w:val="center"/>
        <w:rPr>
          <w:rFonts w:ascii="Arial" w:hAnsi="Arial" w:cs="Arial"/>
          <w:b/>
          <w:sz w:val="44"/>
          <w:szCs w:val="44"/>
        </w:rPr>
      </w:pPr>
      <w:r w:rsidRPr="00A63C2D">
        <w:rPr>
          <w:rFonts w:ascii="Arial" w:hAnsi="Arial" w:cs="Arial"/>
          <w:b/>
          <w:sz w:val="44"/>
          <w:szCs w:val="44"/>
        </w:rPr>
        <w:t>Les clauses sociales : un réseau en action</w:t>
      </w:r>
    </w:p>
    <w:p w:rsidR="00442B30" w:rsidRPr="00A63C2D" w:rsidRDefault="00442B30" w:rsidP="00442B30">
      <w:pPr>
        <w:jc w:val="center"/>
        <w:rPr>
          <w:rFonts w:ascii="Arial" w:hAnsi="Arial" w:cs="Arial"/>
          <w:b/>
          <w:i/>
          <w:sz w:val="44"/>
          <w:szCs w:val="44"/>
        </w:rPr>
      </w:pPr>
      <w:r w:rsidRPr="00A63C2D">
        <w:rPr>
          <w:rFonts w:ascii="Arial" w:hAnsi="Arial" w:cs="Arial"/>
          <w:b/>
          <w:i/>
          <w:sz w:val="44"/>
          <w:szCs w:val="44"/>
        </w:rPr>
        <w:t>1</w:t>
      </w:r>
      <w:r w:rsidRPr="00A63C2D">
        <w:rPr>
          <w:rFonts w:ascii="Arial" w:hAnsi="Arial" w:cs="Arial"/>
          <w:b/>
          <w:i/>
          <w:sz w:val="44"/>
          <w:szCs w:val="44"/>
          <w:vertAlign w:val="superscript"/>
        </w:rPr>
        <w:t>er</w:t>
      </w:r>
      <w:r w:rsidRPr="00A63C2D">
        <w:rPr>
          <w:rFonts w:ascii="Arial" w:hAnsi="Arial" w:cs="Arial"/>
          <w:b/>
          <w:i/>
          <w:sz w:val="44"/>
          <w:szCs w:val="44"/>
        </w:rPr>
        <w:t xml:space="preserve"> décembre 2014</w:t>
      </w:r>
    </w:p>
    <w:p w:rsidR="00442B30" w:rsidRPr="00A63C2D" w:rsidRDefault="00442B30" w:rsidP="00442B30">
      <w:pPr>
        <w:rPr>
          <w:rFonts w:ascii="Arial" w:hAnsi="Arial" w:cs="Arial"/>
        </w:rPr>
      </w:pPr>
    </w:p>
    <w:p w:rsidR="00442B30" w:rsidRPr="00A63C2D" w:rsidRDefault="00442B30" w:rsidP="00442B30">
      <w:pPr>
        <w:rPr>
          <w:rFonts w:ascii="Arial" w:hAnsi="Arial" w:cs="Arial"/>
        </w:rPr>
      </w:pPr>
    </w:p>
    <w:p w:rsidR="00442B30" w:rsidRPr="00A63C2D" w:rsidRDefault="00442B30" w:rsidP="00442B30">
      <w:pPr>
        <w:rPr>
          <w:rFonts w:ascii="Arial" w:hAnsi="Arial" w:cs="Arial"/>
        </w:rPr>
      </w:pPr>
    </w:p>
    <w:p w:rsidR="00442B30" w:rsidRPr="00A63C2D" w:rsidRDefault="00442B30" w:rsidP="00442B30">
      <w:pPr>
        <w:rPr>
          <w:rFonts w:ascii="Arial" w:hAnsi="Arial" w:cs="Arial"/>
        </w:rPr>
      </w:pPr>
    </w:p>
    <w:p w:rsidR="00442B30" w:rsidRPr="00A63C2D" w:rsidRDefault="00442B30" w:rsidP="00442B30">
      <w:pPr>
        <w:rPr>
          <w:rFonts w:ascii="Arial" w:hAnsi="Arial" w:cs="Arial"/>
        </w:rPr>
      </w:pPr>
    </w:p>
    <w:p w:rsidR="00442B30" w:rsidRPr="00A63C2D" w:rsidRDefault="000254F4" w:rsidP="00A63C2D">
      <w:pPr>
        <w:pBdr>
          <w:top w:val="single" w:sz="4" w:space="1" w:color="auto"/>
          <w:left w:val="single" w:sz="4" w:space="4" w:color="auto"/>
          <w:bottom w:val="single" w:sz="4" w:space="1" w:color="auto"/>
          <w:right w:val="single" w:sz="4" w:space="4" w:color="auto"/>
        </w:pBdr>
        <w:spacing w:after="0"/>
        <w:jc w:val="center"/>
        <w:rPr>
          <w:rFonts w:ascii="Arial" w:hAnsi="Arial" w:cs="Arial"/>
          <w:sz w:val="28"/>
          <w:szCs w:val="28"/>
        </w:rPr>
      </w:pPr>
      <w:r>
        <w:rPr>
          <w:rFonts w:ascii="Arial" w:hAnsi="Arial" w:cs="Arial"/>
          <w:sz w:val="28"/>
          <w:szCs w:val="28"/>
        </w:rPr>
        <w:t xml:space="preserve">La clause sociale vue par les </w:t>
      </w:r>
      <w:r w:rsidR="00620C9B">
        <w:rPr>
          <w:rFonts w:ascii="Arial" w:hAnsi="Arial" w:cs="Arial"/>
          <w:sz w:val="28"/>
          <w:szCs w:val="28"/>
        </w:rPr>
        <w:t>article</w:t>
      </w:r>
      <w:r>
        <w:rPr>
          <w:rFonts w:ascii="Arial" w:hAnsi="Arial" w:cs="Arial"/>
          <w:sz w:val="28"/>
          <w:szCs w:val="28"/>
        </w:rPr>
        <w:t>s</w:t>
      </w:r>
      <w:r w:rsidR="00620C9B">
        <w:rPr>
          <w:rFonts w:ascii="Arial" w:hAnsi="Arial" w:cs="Arial"/>
          <w:sz w:val="28"/>
          <w:szCs w:val="28"/>
        </w:rPr>
        <w:t xml:space="preserve"> </w:t>
      </w:r>
      <w:bookmarkStart w:id="0" w:name="_GoBack"/>
      <w:bookmarkEnd w:id="0"/>
      <w:r w:rsidR="00620C9B">
        <w:rPr>
          <w:rFonts w:ascii="Arial" w:hAnsi="Arial" w:cs="Arial"/>
          <w:sz w:val="28"/>
          <w:szCs w:val="28"/>
        </w:rPr>
        <w:t>14 - 53</w:t>
      </w:r>
    </w:p>
    <w:p w:rsidR="00A63C2D" w:rsidRPr="00A63C2D" w:rsidRDefault="00A63C2D" w:rsidP="00A63C2D">
      <w:pPr>
        <w:spacing w:after="0"/>
        <w:jc w:val="center"/>
        <w:rPr>
          <w:rFonts w:ascii="Arial" w:hAnsi="Arial" w:cs="Arial"/>
          <w:sz w:val="24"/>
          <w:szCs w:val="24"/>
        </w:rPr>
      </w:pPr>
    </w:p>
    <w:p w:rsidR="00A63C2D" w:rsidRPr="00A63C2D" w:rsidRDefault="00A63C2D" w:rsidP="00A63C2D">
      <w:pPr>
        <w:spacing w:after="0"/>
        <w:jc w:val="center"/>
        <w:rPr>
          <w:rFonts w:ascii="Arial" w:hAnsi="Arial" w:cs="Arial"/>
          <w:sz w:val="24"/>
          <w:szCs w:val="24"/>
        </w:rPr>
      </w:pPr>
    </w:p>
    <w:p w:rsidR="00A63C2D" w:rsidRPr="00A63C2D" w:rsidRDefault="00A63C2D">
      <w:pPr>
        <w:rPr>
          <w:rFonts w:ascii="Arial" w:hAnsi="Arial" w:cs="Arial"/>
          <w:sz w:val="24"/>
          <w:szCs w:val="24"/>
        </w:rPr>
      </w:pPr>
      <w:r w:rsidRPr="00A63C2D">
        <w:rPr>
          <w:rFonts w:ascii="Arial" w:hAnsi="Arial" w:cs="Arial"/>
          <w:sz w:val="24"/>
          <w:szCs w:val="24"/>
        </w:rPr>
        <w:br w:type="page"/>
      </w:r>
    </w:p>
    <w:p w:rsidR="00A63C2D" w:rsidRDefault="00A63C2D" w:rsidP="00A63C2D">
      <w:pPr>
        <w:rPr>
          <w:rFonts w:ascii="Arial" w:hAnsi="Arial" w:cs="Arial"/>
          <w:sz w:val="24"/>
          <w:szCs w:val="24"/>
        </w:rPr>
      </w:pPr>
    </w:p>
    <w:p w:rsidR="00A63C2D" w:rsidRPr="00DE6308" w:rsidRDefault="00620C9B" w:rsidP="00DE6308">
      <w:pPr>
        <w:keepNext/>
        <w:spacing w:before="240" w:after="240" w:line="240" w:lineRule="auto"/>
        <w:jc w:val="both"/>
        <w:outlineLvl w:val="1"/>
        <w:rPr>
          <w:rFonts w:ascii="Arial" w:eastAsia="Times New Roman" w:hAnsi="Arial" w:cs="Arial"/>
          <w:b/>
          <w:bCs/>
          <w:color w:val="800000"/>
          <w:sz w:val="28"/>
          <w:szCs w:val="28"/>
          <w:u w:val="single"/>
          <w:lang w:eastAsia="fr-FR"/>
        </w:rPr>
      </w:pPr>
      <w:r>
        <w:rPr>
          <w:rFonts w:ascii="Arial" w:eastAsia="Times New Roman" w:hAnsi="Arial" w:cs="Arial"/>
          <w:b/>
          <w:bCs/>
          <w:color w:val="800000"/>
          <w:sz w:val="28"/>
          <w:szCs w:val="28"/>
          <w:u w:val="single"/>
          <w:lang w:eastAsia="fr-FR"/>
        </w:rPr>
        <w:t>Définition</w:t>
      </w:r>
    </w:p>
    <w:p w:rsidR="00CD04A7" w:rsidRPr="00095338" w:rsidRDefault="000565E1" w:rsidP="00CD04A7">
      <w:pPr>
        <w:pStyle w:val="Paragraphedeliste"/>
        <w:numPr>
          <w:ilvl w:val="0"/>
          <w:numId w:val="1"/>
        </w:numPr>
        <w:rPr>
          <w:rFonts w:ascii="Arial" w:hAnsi="Arial" w:cs="Arial"/>
          <w:b/>
          <w:i/>
          <w:color w:val="0070C0"/>
          <w:sz w:val="24"/>
          <w:szCs w:val="24"/>
        </w:rPr>
      </w:pPr>
      <w:r>
        <w:rPr>
          <w:rFonts w:ascii="Arial" w:hAnsi="Arial" w:cs="Arial"/>
          <w:b/>
          <w:i/>
          <w:color w:val="0070C0"/>
          <w:sz w:val="24"/>
          <w:szCs w:val="24"/>
        </w:rPr>
        <w:t>L’article 14</w:t>
      </w:r>
    </w:p>
    <w:p w:rsidR="0028021F" w:rsidRPr="003174CF" w:rsidRDefault="0028021F" w:rsidP="0028021F">
      <w:pPr>
        <w:rPr>
          <w:rFonts w:ascii="Arial" w:hAnsi="Arial" w:cs="Arial"/>
        </w:rPr>
      </w:pPr>
      <w:r>
        <w:rPr>
          <w:rFonts w:ascii="Arial" w:hAnsi="Arial" w:cs="Arial"/>
        </w:rPr>
        <w:t xml:space="preserve">Selon l’article 14 </w:t>
      </w:r>
      <w:r w:rsidRPr="003174CF">
        <w:rPr>
          <w:rFonts w:ascii="Arial" w:hAnsi="Arial" w:cs="Arial"/>
        </w:rPr>
        <w:t xml:space="preserve">du Code des marchés publics, l’insertion est une </w:t>
      </w:r>
      <w:r w:rsidRPr="00F9522A">
        <w:rPr>
          <w:rFonts w:ascii="Arial" w:hAnsi="Arial" w:cs="Arial"/>
          <w:b/>
        </w:rPr>
        <w:t>condition d’exécution du marché</w:t>
      </w:r>
      <w:r w:rsidRPr="003174CF">
        <w:rPr>
          <w:rFonts w:ascii="Arial" w:hAnsi="Arial" w:cs="Arial"/>
        </w:rPr>
        <w:t>. Le titulaire du marché doit réaliser un nombre d’heures d’insertion minimum défini et calculé par le pouvoir adjudicateur.</w:t>
      </w:r>
    </w:p>
    <w:p w:rsidR="0028021F" w:rsidRDefault="0028021F" w:rsidP="0028021F">
      <w:pPr>
        <w:rPr>
          <w:rFonts w:ascii="Arial" w:hAnsi="Arial" w:cs="Arial"/>
        </w:rPr>
      </w:pPr>
      <w:r w:rsidRPr="003174CF">
        <w:rPr>
          <w:rFonts w:ascii="Arial" w:hAnsi="Arial" w:cs="Arial"/>
        </w:rPr>
        <w:t xml:space="preserve">Avec cet article, l’insertion n’est pas un critère et n’intervient pas dans le choix de l’entreprise. Simplement, l’entreprise qui soumissionne </w:t>
      </w:r>
      <w:r w:rsidRPr="006A5E81">
        <w:rPr>
          <w:rFonts w:ascii="Arial" w:hAnsi="Arial" w:cs="Arial"/>
          <w:b/>
        </w:rPr>
        <w:t>s’engage</w:t>
      </w:r>
      <w:r w:rsidRPr="003174CF">
        <w:rPr>
          <w:rFonts w:ascii="Arial" w:hAnsi="Arial" w:cs="Arial"/>
        </w:rPr>
        <w:t xml:space="preserve">, si elle est retenue, à réserver une part des heures de travail générées par le marché, à la réalisation d’une action d’insertion. Ce dispositif, prévu par l’article 14 du </w:t>
      </w:r>
      <w:r>
        <w:rPr>
          <w:rFonts w:ascii="Arial" w:hAnsi="Arial" w:cs="Arial"/>
        </w:rPr>
        <w:t>Code des Marchés Publics</w:t>
      </w:r>
      <w:r w:rsidRPr="003174CF">
        <w:rPr>
          <w:rFonts w:ascii="Arial" w:hAnsi="Arial" w:cs="Arial"/>
        </w:rPr>
        <w:t>, est connu sous l’appellation de « clause d’insertion » ou de « clause d’insertion et de promotion de l’emploi ».</w:t>
      </w:r>
    </w:p>
    <w:p w:rsidR="0028021F" w:rsidRDefault="0028021F" w:rsidP="0028021F">
      <w:pPr>
        <w:rPr>
          <w:rFonts w:ascii="Arial" w:hAnsi="Arial" w:cs="Arial"/>
        </w:rPr>
      </w:pPr>
      <w:r>
        <w:rPr>
          <w:rFonts w:ascii="Arial" w:hAnsi="Arial" w:cs="Arial"/>
        </w:rPr>
        <w:t>En outre, la clause sociale est un élément de conformité de l’offre. Elle est une des conditions d’exécution du marché que toute entreprise s’engage à respecter lors du dépôt de son offre. Un offre qui ne respecte pas l’ensemble des engagements prévus au contrat est réputée irrégulière.</w:t>
      </w:r>
    </w:p>
    <w:p w:rsidR="0028021F" w:rsidRDefault="0028021F" w:rsidP="0028021F">
      <w:pPr>
        <w:rPr>
          <w:rFonts w:ascii="Arial" w:hAnsi="Arial" w:cs="Arial"/>
        </w:rPr>
      </w:pPr>
      <w:r>
        <w:rPr>
          <w:rFonts w:ascii="Arial" w:hAnsi="Arial" w:cs="Arial"/>
        </w:rPr>
        <w:t>Utilisé seul, l’article 14 ne permet pas d’apprécier la qualité du contenu de l’offre en matière d’insertion. La mise en œuvre de cet article n’a pas d’incidence sur le choix de l’offre.</w:t>
      </w:r>
    </w:p>
    <w:p w:rsidR="0028021F" w:rsidRDefault="0028021F" w:rsidP="0028021F">
      <w:pPr>
        <w:rPr>
          <w:rFonts w:ascii="Arial" w:hAnsi="Arial" w:cs="Arial"/>
        </w:rPr>
      </w:pPr>
      <w:r>
        <w:rPr>
          <w:rFonts w:ascii="Arial" w:hAnsi="Arial" w:cs="Arial"/>
        </w:rPr>
        <w:t xml:space="preserve">L’acheteur doit veiller à </w:t>
      </w:r>
      <w:r w:rsidRPr="006A5E81">
        <w:rPr>
          <w:rFonts w:ascii="Arial" w:hAnsi="Arial" w:cs="Arial"/>
          <w:b/>
        </w:rPr>
        <w:t>l’absence d’effet discriminatoire</w:t>
      </w:r>
      <w:r>
        <w:rPr>
          <w:rFonts w:ascii="Arial" w:hAnsi="Arial" w:cs="Arial"/>
        </w:rPr>
        <w:t xml:space="preserve"> de la clause, celle-ci ne devant pas limiter la concurrence. Les obligations d’insertion qui s’imposent de manière identique à toutes les entreprises concurrentes, ont pour effet de placer celles-ci sur un pied d’égalité,  tant au point de vue de l’engagement des moyens qui leurs sont demandés qu’au point de vue de leur chance d’emporter le marché.</w:t>
      </w:r>
    </w:p>
    <w:p w:rsidR="0028021F" w:rsidRDefault="0028021F" w:rsidP="0028021F">
      <w:pPr>
        <w:rPr>
          <w:rFonts w:ascii="Arial" w:hAnsi="Arial" w:cs="Arial"/>
        </w:rPr>
      </w:pPr>
      <w:r>
        <w:rPr>
          <w:rFonts w:ascii="Arial" w:hAnsi="Arial" w:cs="Arial"/>
        </w:rPr>
        <w:t>La clause est insérée dans les pièces du Dossier de Consultation des Entreprises (DCE) et sur la publication (Avis d’Appel Public à la Concurrence)</w:t>
      </w:r>
    </w:p>
    <w:p w:rsidR="0028021F" w:rsidRPr="00095338" w:rsidRDefault="0028021F" w:rsidP="0028021F">
      <w:pPr>
        <w:pStyle w:val="Paragraphedeliste"/>
        <w:numPr>
          <w:ilvl w:val="0"/>
          <w:numId w:val="1"/>
        </w:numPr>
        <w:rPr>
          <w:rFonts w:ascii="Arial" w:hAnsi="Arial" w:cs="Arial"/>
          <w:b/>
          <w:i/>
          <w:color w:val="0070C0"/>
          <w:sz w:val="24"/>
          <w:szCs w:val="24"/>
        </w:rPr>
      </w:pPr>
      <w:r>
        <w:rPr>
          <w:rFonts w:ascii="Arial" w:hAnsi="Arial" w:cs="Arial"/>
          <w:b/>
          <w:i/>
          <w:color w:val="0070C0"/>
          <w:sz w:val="24"/>
          <w:szCs w:val="24"/>
        </w:rPr>
        <w:t>L’article 53</w:t>
      </w:r>
    </w:p>
    <w:p w:rsidR="004A2124" w:rsidRDefault="003C7C7A" w:rsidP="0028021F">
      <w:pPr>
        <w:rPr>
          <w:rFonts w:ascii="Arial" w:hAnsi="Arial" w:cs="Arial"/>
          <w:sz w:val="24"/>
          <w:szCs w:val="24"/>
        </w:rPr>
      </w:pPr>
      <w:r w:rsidRPr="003C7C7A">
        <w:rPr>
          <w:rFonts w:ascii="Arial" w:hAnsi="Arial" w:cs="Arial"/>
          <w:sz w:val="24"/>
          <w:szCs w:val="24"/>
        </w:rPr>
        <w:t>L'article 53-I du code des marchés publics permet, au titre de la sélection des offres, de prendre en compte un critère de performance en matière d'insertion professionnelle des publics en difficulté, en complément des critères «classiques» de choix tels que la valeur technique, le prix ou les délais d'exécution. Son utilisation par l’acheteur public signifie que cela répond à la définition de ses besoins conformément à l’article 5 du code des marchés publics.</w:t>
      </w:r>
    </w:p>
    <w:p w:rsidR="0028021F" w:rsidRPr="00620C9B" w:rsidRDefault="003C7C7A" w:rsidP="0028021F">
      <w:pPr>
        <w:pBdr>
          <w:top w:val="single" w:sz="4" w:space="1" w:color="auto"/>
          <w:left w:val="single" w:sz="4" w:space="4" w:color="auto"/>
          <w:bottom w:val="single" w:sz="4" w:space="1" w:color="auto"/>
          <w:right w:val="single" w:sz="4" w:space="4" w:color="auto"/>
        </w:pBdr>
        <w:rPr>
          <w:rFonts w:ascii="Arial" w:hAnsi="Arial" w:cs="Arial"/>
          <w:i/>
          <w:sz w:val="24"/>
          <w:szCs w:val="24"/>
        </w:rPr>
      </w:pPr>
      <w:r w:rsidRPr="00620C9B">
        <w:rPr>
          <w:rFonts w:ascii="Arial" w:hAnsi="Arial" w:cs="Arial"/>
          <w:i/>
          <w:sz w:val="24"/>
          <w:szCs w:val="24"/>
        </w:rPr>
        <w:t xml:space="preserve"> </w:t>
      </w:r>
      <w:r w:rsidR="0028021F" w:rsidRPr="00620C9B">
        <w:rPr>
          <w:rFonts w:ascii="Arial" w:hAnsi="Arial" w:cs="Arial"/>
          <w:i/>
          <w:sz w:val="24"/>
          <w:szCs w:val="24"/>
        </w:rPr>
        <w:t xml:space="preserve">« I-Pour attribuer le marché au candidat qui a présenté l'offre économiquement la plus avantageuse, le pouvoir adjudicateur se fonde : </w:t>
      </w:r>
    </w:p>
    <w:p w:rsidR="0028021F" w:rsidRPr="00620C9B" w:rsidRDefault="0028021F" w:rsidP="0028021F">
      <w:pPr>
        <w:pBdr>
          <w:top w:val="single" w:sz="4" w:space="1" w:color="auto"/>
          <w:left w:val="single" w:sz="4" w:space="4" w:color="auto"/>
          <w:bottom w:val="single" w:sz="4" w:space="1" w:color="auto"/>
          <w:right w:val="single" w:sz="4" w:space="4" w:color="auto"/>
        </w:pBdr>
        <w:rPr>
          <w:rFonts w:ascii="Arial" w:hAnsi="Arial" w:cs="Arial"/>
          <w:i/>
          <w:sz w:val="24"/>
          <w:szCs w:val="24"/>
        </w:rPr>
      </w:pPr>
      <w:r w:rsidRPr="00620C9B">
        <w:rPr>
          <w:rFonts w:ascii="Arial" w:hAnsi="Arial" w:cs="Arial"/>
          <w:i/>
          <w:sz w:val="24"/>
          <w:szCs w:val="24"/>
        </w:rPr>
        <w:t xml:space="preserve">1° Soit sur une pluralité de critères non discriminatoires et liés à l'objet du marché, notamment la qualité, le prix, la valeur technique, le caractère esthétique et fonctionnel, les performances en matière de protection de l'environnement, les performances en matière de développement des approvisionnements directs de </w:t>
      </w:r>
      <w:r w:rsidRPr="00620C9B">
        <w:rPr>
          <w:rFonts w:ascii="Arial" w:hAnsi="Arial" w:cs="Arial"/>
          <w:i/>
          <w:sz w:val="24"/>
          <w:szCs w:val="24"/>
        </w:rPr>
        <w:lastRenderedPageBreak/>
        <w:t>produits de l'agriculture</w:t>
      </w:r>
      <w:r w:rsidRPr="000565E1">
        <w:rPr>
          <w:rFonts w:ascii="Arial" w:hAnsi="Arial" w:cs="Arial"/>
          <w:b/>
          <w:i/>
          <w:sz w:val="24"/>
          <w:szCs w:val="24"/>
        </w:rPr>
        <w:t>, les performances en matière d'insertion professionnelle des publics en difficulté</w:t>
      </w:r>
      <w:r w:rsidRPr="00620C9B">
        <w:rPr>
          <w:rFonts w:ascii="Arial" w:hAnsi="Arial" w:cs="Arial"/>
          <w:i/>
          <w:sz w:val="24"/>
          <w:szCs w:val="24"/>
        </w:rPr>
        <w:t>, le coût global d'utilisation, les coûts tout au long du cycle de vie, la rentabilité, le caractère innovant, le service après-vente et l'assistance technique, la date de livraison, le délai de livraison ou d'exécution, la sécurité d'approvisionnement, l'interopérabilité et les caractéristiques opérationnelles. D'autres critères peuvent être pris en compte s'ils sont justifiés par l'objet du marché ; »</w:t>
      </w:r>
    </w:p>
    <w:p w:rsidR="004A2124" w:rsidRPr="004A2124" w:rsidRDefault="004A2124" w:rsidP="004A2124">
      <w:pPr>
        <w:rPr>
          <w:rFonts w:ascii="Arial" w:hAnsi="Arial" w:cs="Arial"/>
          <w:sz w:val="24"/>
          <w:szCs w:val="24"/>
        </w:rPr>
      </w:pPr>
      <w:r w:rsidRPr="004A2124">
        <w:rPr>
          <w:rFonts w:ascii="Arial" w:hAnsi="Arial" w:cs="Arial"/>
          <w:sz w:val="24"/>
          <w:szCs w:val="24"/>
        </w:rPr>
        <w:t xml:space="preserve">En l'état de la jurisprudence de la Cour de Justice des Communautés Européennes (CJCE), ce critère social ne peut toutefois être mis en œuvre que lorsqu'il présente un lien avec l'objet du marché, c'est-à-dire lorsque la nature des prestations demandées est bien en rapport avec une action d’insertion, comme c’est le cas lorsque l'objet même du marché est la réalisation d'une action d'insertion. </w:t>
      </w:r>
    </w:p>
    <w:p w:rsidR="003C7C7A" w:rsidRDefault="004A2124" w:rsidP="004A2124">
      <w:pPr>
        <w:rPr>
          <w:rFonts w:ascii="Arial" w:hAnsi="Arial" w:cs="Arial"/>
          <w:sz w:val="24"/>
          <w:szCs w:val="24"/>
        </w:rPr>
      </w:pPr>
      <w:r w:rsidRPr="004A2124">
        <w:rPr>
          <w:rFonts w:ascii="Arial" w:hAnsi="Arial" w:cs="Arial"/>
          <w:sz w:val="24"/>
          <w:szCs w:val="24"/>
        </w:rPr>
        <w:t>Mais il est également possible d’envisager l’utilisation de ce critère lorsque le marché porte sur la réalisation d'une prestation classique de travaux, de fournitures ou de services conjuguée à un programme d'insertion qui peut se décliner dans le cadre d’une clause d'exécution de l’article 14 du code des marchés publics.</w:t>
      </w:r>
    </w:p>
    <w:p w:rsidR="004A2124" w:rsidRPr="004A2124" w:rsidRDefault="004A2124" w:rsidP="004A2124">
      <w:pPr>
        <w:rPr>
          <w:rFonts w:ascii="Arial" w:hAnsi="Arial" w:cs="Arial"/>
          <w:sz w:val="24"/>
          <w:szCs w:val="24"/>
        </w:rPr>
      </w:pPr>
    </w:p>
    <w:p w:rsidR="0028021F" w:rsidRPr="003C7C7A" w:rsidRDefault="003C7C7A" w:rsidP="003C7C7A">
      <w:pPr>
        <w:pStyle w:val="Paragraphedeliste"/>
        <w:numPr>
          <w:ilvl w:val="0"/>
          <w:numId w:val="1"/>
        </w:numPr>
        <w:rPr>
          <w:rFonts w:ascii="Arial" w:hAnsi="Arial" w:cs="Arial"/>
          <w:b/>
          <w:i/>
          <w:color w:val="0070C0"/>
          <w:sz w:val="24"/>
          <w:szCs w:val="24"/>
        </w:rPr>
      </w:pPr>
      <w:r>
        <w:rPr>
          <w:rFonts w:ascii="Arial" w:hAnsi="Arial" w:cs="Arial"/>
          <w:b/>
          <w:i/>
          <w:color w:val="0070C0"/>
          <w:sz w:val="24"/>
          <w:szCs w:val="24"/>
        </w:rPr>
        <w:t>La réunion dans un marché des articles 14 et 53 du Code des marchés publics</w:t>
      </w:r>
    </w:p>
    <w:p w:rsidR="00095338" w:rsidRDefault="003C7C7A" w:rsidP="003C7C7A">
      <w:pPr>
        <w:rPr>
          <w:rFonts w:ascii="Arial" w:hAnsi="Arial" w:cs="Arial"/>
        </w:rPr>
      </w:pPr>
      <w:r>
        <w:rPr>
          <w:rFonts w:ascii="Arial" w:hAnsi="Arial" w:cs="Arial"/>
          <w:sz w:val="24"/>
          <w:szCs w:val="24"/>
        </w:rPr>
        <w:t xml:space="preserve">D’une part, </w:t>
      </w:r>
      <w:r w:rsidRPr="003174CF">
        <w:rPr>
          <w:rFonts w:ascii="Arial" w:hAnsi="Arial" w:cs="Arial"/>
        </w:rPr>
        <w:t xml:space="preserve">l’entreprise qui soumissionne </w:t>
      </w:r>
      <w:r w:rsidRPr="006A5E81">
        <w:rPr>
          <w:rFonts w:ascii="Arial" w:hAnsi="Arial" w:cs="Arial"/>
          <w:b/>
        </w:rPr>
        <w:t>s’engage</w:t>
      </w:r>
      <w:r w:rsidRPr="003174CF">
        <w:rPr>
          <w:rFonts w:ascii="Arial" w:hAnsi="Arial" w:cs="Arial"/>
        </w:rPr>
        <w:t>, si elle est retenue, à réserver une part des heures de travail générées par le marché, à la réalisation d’une action d’insertion</w:t>
      </w:r>
      <w:r>
        <w:rPr>
          <w:rFonts w:ascii="Arial" w:hAnsi="Arial" w:cs="Arial"/>
        </w:rPr>
        <w:t xml:space="preserve"> (article 14 du Code des marchés publics), et d’autre part, le pouvoir adjudicateur jugera l’entreprise sur ses performances en matière d’insertion, en lien avec l’obligation de la clause d’insertion fixée au CCAP.</w:t>
      </w:r>
    </w:p>
    <w:p w:rsidR="004A2124" w:rsidRDefault="004A2124" w:rsidP="003C7C7A">
      <w:pPr>
        <w:rPr>
          <w:rFonts w:ascii="Arial" w:hAnsi="Arial" w:cs="Arial"/>
          <w:sz w:val="24"/>
          <w:szCs w:val="24"/>
        </w:rPr>
      </w:pPr>
      <w:r>
        <w:rPr>
          <w:rFonts w:ascii="Arial" w:hAnsi="Arial" w:cs="Arial"/>
          <w:sz w:val="24"/>
          <w:szCs w:val="24"/>
        </w:rPr>
        <w:t>L’</w:t>
      </w:r>
      <w:r w:rsidRPr="004A2124">
        <w:rPr>
          <w:rFonts w:ascii="Arial" w:hAnsi="Arial" w:cs="Arial"/>
          <w:sz w:val="24"/>
          <w:szCs w:val="24"/>
        </w:rPr>
        <w:t xml:space="preserve">utilisation du critère des performances en matière d’insertion en application de l’article 53-I associé à une </w:t>
      </w:r>
      <w:r w:rsidRPr="004A2124">
        <w:rPr>
          <w:rFonts w:ascii="Arial" w:hAnsi="Arial" w:cs="Arial"/>
          <w:b/>
          <w:sz w:val="24"/>
          <w:szCs w:val="24"/>
        </w:rPr>
        <w:t>pondération adéquate</w:t>
      </w:r>
      <w:r w:rsidRPr="004A2124">
        <w:rPr>
          <w:rFonts w:ascii="Arial" w:hAnsi="Arial" w:cs="Arial"/>
          <w:sz w:val="24"/>
          <w:szCs w:val="24"/>
        </w:rPr>
        <w:t>, donne au pouvoir adjudicateur le moyen de départager les offres également sur le terrain de la démarche d’insertion, puisqu’il peut évaluer, par une note chiffrée, la qualité de la proposition des opérateurs économiques dans ce domaine et qu’il peut donner une certaine importance à ce critère. Le recours à l’article 53-I, couplé à l’article 14, incite les opérateurs économiques à proposer une démarche d’insertion plus élaborée que celle qui serait exigée par la simple conformité à la clause sociale d’insertion figurant dans le cahier des charges puisqu’ils peuvent espérer une note supérieure</w:t>
      </w:r>
      <w:r>
        <w:rPr>
          <w:rFonts w:ascii="Arial" w:hAnsi="Arial" w:cs="Arial"/>
          <w:sz w:val="24"/>
          <w:szCs w:val="24"/>
        </w:rPr>
        <w:t>.</w:t>
      </w:r>
    </w:p>
    <w:p w:rsidR="004A2124" w:rsidRDefault="004A2124" w:rsidP="003C7C7A">
      <w:pPr>
        <w:rPr>
          <w:rFonts w:ascii="Arial" w:hAnsi="Arial" w:cs="Arial"/>
          <w:sz w:val="24"/>
          <w:szCs w:val="24"/>
        </w:rPr>
      </w:pPr>
      <w:r w:rsidRPr="004A2124">
        <w:rPr>
          <w:rFonts w:ascii="Arial" w:hAnsi="Arial" w:cs="Arial"/>
          <w:sz w:val="24"/>
          <w:szCs w:val="24"/>
        </w:rPr>
        <w:t>L’appréciation des sous-critères</w:t>
      </w:r>
      <w:r>
        <w:rPr>
          <w:rFonts w:ascii="Arial" w:hAnsi="Arial" w:cs="Arial"/>
          <w:sz w:val="24"/>
          <w:szCs w:val="24"/>
        </w:rPr>
        <w:t xml:space="preserve"> ou critère</w:t>
      </w:r>
      <w:r w:rsidRPr="004A2124">
        <w:rPr>
          <w:rFonts w:ascii="Arial" w:hAnsi="Arial" w:cs="Arial"/>
          <w:sz w:val="24"/>
          <w:szCs w:val="24"/>
        </w:rPr>
        <w:t xml:space="preserve"> par l’acheteur public ne doit être en aucun cas discriminatoire</w:t>
      </w:r>
      <w:r>
        <w:rPr>
          <w:rFonts w:ascii="Arial" w:hAnsi="Arial" w:cs="Arial"/>
          <w:sz w:val="24"/>
          <w:szCs w:val="24"/>
        </w:rPr>
        <w:t>.</w:t>
      </w:r>
    </w:p>
    <w:p w:rsidR="0028021F" w:rsidRPr="00DE6308" w:rsidRDefault="0028021F" w:rsidP="0028021F">
      <w:pPr>
        <w:keepNext/>
        <w:spacing w:before="240" w:after="240" w:line="240" w:lineRule="auto"/>
        <w:jc w:val="both"/>
        <w:outlineLvl w:val="1"/>
        <w:rPr>
          <w:rFonts w:ascii="Arial" w:eastAsia="Times New Roman" w:hAnsi="Arial" w:cs="Arial"/>
          <w:b/>
          <w:bCs/>
          <w:color w:val="800000"/>
          <w:sz w:val="28"/>
          <w:szCs w:val="28"/>
          <w:u w:val="single"/>
          <w:lang w:eastAsia="fr-FR"/>
        </w:rPr>
      </w:pPr>
      <w:r>
        <w:rPr>
          <w:rFonts w:ascii="Arial" w:eastAsia="Times New Roman" w:hAnsi="Arial" w:cs="Arial"/>
          <w:b/>
          <w:bCs/>
          <w:color w:val="800000"/>
          <w:sz w:val="28"/>
          <w:szCs w:val="28"/>
          <w:u w:val="single"/>
          <w:lang w:eastAsia="fr-FR"/>
        </w:rPr>
        <w:t>Comment juger les performances en matière d’insertion ?</w:t>
      </w:r>
    </w:p>
    <w:p w:rsidR="00095338" w:rsidRDefault="00095338" w:rsidP="00095338">
      <w:pPr>
        <w:pStyle w:val="Paragraphedeliste"/>
        <w:numPr>
          <w:ilvl w:val="0"/>
          <w:numId w:val="1"/>
        </w:numPr>
        <w:rPr>
          <w:rFonts w:ascii="Arial" w:hAnsi="Arial" w:cs="Arial"/>
          <w:b/>
          <w:i/>
          <w:color w:val="0070C0"/>
          <w:sz w:val="24"/>
          <w:szCs w:val="24"/>
        </w:rPr>
      </w:pPr>
      <w:r>
        <w:rPr>
          <w:rFonts w:ascii="Arial" w:hAnsi="Arial" w:cs="Arial"/>
          <w:b/>
          <w:i/>
          <w:color w:val="0070C0"/>
          <w:sz w:val="24"/>
          <w:szCs w:val="24"/>
        </w:rPr>
        <w:t xml:space="preserve">Les </w:t>
      </w:r>
      <w:r w:rsidR="0028021F">
        <w:rPr>
          <w:rFonts w:ascii="Arial" w:hAnsi="Arial" w:cs="Arial"/>
          <w:b/>
          <w:i/>
          <w:color w:val="0070C0"/>
          <w:sz w:val="24"/>
          <w:szCs w:val="24"/>
        </w:rPr>
        <w:t>trois indicateurs proposés pour apprécier les performances en matière d’insertion sont :</w:t>
      </w:r>
    </w:p>
    <w:p w:rsidR="0028021F" w:rsidRPr="0028021F" w:rsidRDefault="0028021F" w:rsidP="0028021F">
      <w:pPr>
        <w:pStyle w:val="Paragraphedeliste"/>
        <w:numPr>
          <w:ilvl w:val="1"/>
          <w:numId w:val="1"/>
        </w:numPr>
        <w:spacing w:after="0" w:line="240" w:lineRule="auto"/>
        <w:rPr>
          <w:rFonts w:ascii="Arial" w:hAnsi="Arial" w:cs="Arial"/>
          <w:sz w:val="24"/>
          <w:szCs w:val="24"/>
        </w:rPr>
      </w:pPr>
      <w:r w:rsidRPr="0028021F">
        <w:rPr>
          <w:rFonts w:ascii="Arial" w:hAnsi="Arial" w:cs="Arial"/>
          <w:sz w:val="24"/>
          <w:szCs w:val="24"/>
        </w:rPr>
        <w:lastRenderedPageBreak/>
        <w:t>l’encadrement  technique  et le tutorat  proposés par l’entreprise pour les personnes en insertion</w:t>
      </w:r>
    </w:p>
    <w:p w:rsidR="0028021F" w:rsidRPr="0028021F" w:rsidRDefault="0028021F" w:rsidP="0028021F">
      <w:pPr>
        <w:pStyle w:val="Paragraphedeliste"/>
        <w:numPr>
          <w:ilvl w:val="1"/>
          <w:numId w:val="1"/>
        </w:numPr>
        <w:spacing w:after="0" w:line="240" w:lineRule="auto"/>
        <w:rPr>
          <w:rFonts w:ascii="Arial" w:hAnsi="Arial" w:cs="Arial"/>
          <w:sz w:val="24"/>
          <w:szCs w:val="24"/>
        </w:rPr>
      </w:pPr>
      <w:r w:rsidRPr="0028021F">
        <w:rPr>
          <w:rFonts w:ascii="Arial" w:hAnsi="Arial" w:cs="Arial"/>
          <w:sz w:val="24"/>
          <w:szCs w:val="24"/>
        </w:rPr>
        <w:t>les mesures prises par l’entreprise pour assurer ou faire assurer l’accompagnement socioprofessionnel des personnes en insertion</w:t>
      </w:r>
    </w:p>
    <w:p w:rsidR="0028021F" w:rsidRPr="0028021F" w:rsidRDefault="0028021F" w:rsidP="0028021F">
      <w:pPr>
        <w:pStyle w:val="Paragraphedeliste"/>
        <w:numPr>
          <w:ilvl w:val="1"/>
          <w:numId w:val="1"/>
        </w:numPr>
        <w:spacing w:after="0" w:line="240" w:lineRule="auto"/>
        <w:rPr>
          <w:rFonts w:ascii="Arial" w:hAnsi="Arial" w:cs="Arial"/>
          <w:sz w:val="24"/>
          <w:szCs w:val="24"/>
        </w:rPr>
      </w:pPr>
      <w:r w:rsidRPr="0028021F">
        <w:rPr>
          <w:rFonts w:ascii="Arial" w:hAnsi="Arial" w:cs="Arial"/>
          <w:sz w:val="24"/>
          <w:szCs w:val="24"/>
        </w:rPr>
        <w:t>le dispositif de formation proposé par l’entreprise pour les personnes en insertion</w:t>
      </w:r>
    </w:p>
    <w:p w:rsidR="0028021F" w:rsidRPr="003C7C7A" w:rsidRDefault="0028021F" w:rsidP="003C7C7A">
      <w:pPr>
        <w:ind w:left="360"/>
        <w:jc w:val="right"/>
        <w:rPr>
          <w:rFonts w:ascii="Arial" w:hAnsi="Arial" w:cs="Arial"/>
          <w:i/>
        </w:rPr>
      </w:pPr>
    </w:p>
    <w:p w:rsidR="0028021F" w:rsidRPr="003C7C7A" w:rsidRDefault="0028021F" w:rsidP="003C7C7A">
      <w:pPr>
        <w:ind w:left="360"/>
        <w:jc w:val="right"/>
        <w:rPr>
          <w:rFonts w:ascii="Arial" w:hAnsi="Arial" w:cs="Arial"/>
          <w:i/>
        </w:rPr>
      </w:pPr>
    </w:p>
    <w:p w:rsidR="0028021F" w:rsidRPr="0028021F" w:rsidRDefault="0028021F" w:rsidP="0028021F">
      <w:pPr>
        <w:ind w:left="360"/>
        <w:jc w:val="right"/>
        <w:rPr>
          <w:rFonts w:ascii="Arial" w:hAnsi="Arial" w:cs="Arial"/>
          <w:i/>
        </w:rPr>
      </w:pPr>
      <w:r w:rsidRPr="0028021F">
        <w:rPr>
          <w:rFonts w:ascii="Arial" w:hAnsi="Arial" w:cs="Arial"/>
          <w:i/>
        </w:rPr>
        <w:t>Ci-annexé, un modèle de marché qui intègre à la fois l’article 14 et un critère d’insertion au titre de l’article 53 (CCAP / AE / RC)</w:t>
      </w:r>
    </w:p>
    <w:p w:rsidR="008978B2" w:rsidRPr="00030168" w:rsidRDefault="008978B2" w:rsidP="00030168">
      <w:pPr>
        <w:rPr>
          <w:rFonts w:ascii="Arial" w:hAnsi="Arial" w:cs="Arial"/>
          <w:sz w:val="24"/>
          <w:szCs w:val="24"/>
        </w:rPr>
      </w:pPr>
    </w:p>
    <w:sectPr w:rsidR="008978B2" w:rsidRPr="00030168" w:rsidSect="00442B30">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B06FC"/>
    <w:multiLevelType w:val="hybridMultilevel"/>
    <w:tmpl w:val="C64253CC"/>
    <w:lvl w:ilvl="0" w:tplc="C67AE4E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8E550BB"/>
    <w:multiLevelType w:val="hybridMultilevel"/>
    <w:tmpl w:val="79D8F042"/>
    <w:lvl w:ilvl="0" w:tplc="3DD6A896">
      <w:start w:val="1"/>
      <w:numFmt w:val="bullet"/>
      <w:lvlText w:val="F"/>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6881926"/>
    <w:multiLevelType w:val="hybridMultilevel"/>
    <w:tmpl w:val="9C20E52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9EB34B8"/>
    <w:multiLevelType w:val="hybridMultilevel"/>
    <w:tmpl w:val="6310FC14"/>
    <w:lvl w:ilvl="0" w:tplc="37342930">
      <w:start w:val="1"/>
      <w:numFmt w:val="bullet"/>
      <w:lvlText w:val="•"/>
      <w:lvlJc w:val="left"/>
      <w:pPr>
        <w:tabs>
          <w:tab w:val="num" w:pos="720"/>
        </w:tabs>
        <w:ind w:left="720" w:hanging="360"/>
      </w:pPr>
      <w:rPr>
        <w:rFonts w:ascii="Times New Roman" w:hAnsi="Times New Roman" w:hint="default"/>
      </w:rPr>
    </w:lvl>
    <w:lvl w:ilvl="1" w:tplc="624EDF94" w:tentative="1">
      <w:start w:val="1"/>
      <w:numFmt w:val="bullet"/>
      <w:lvlText w:val="•"/>
      <w:lvlJc w:val="left"/>
      <w:pPr>
        <w:tabs>
          <w:tab w:val="num" w:pos="1440"/>
        </w:tabs>
        <w:ind w:left="1440" w:hanging="360"/>
      </w:pPr>
      <w:rPr>
        <w:rFonts w:ascii="Times New Roman" w:hAnsi="Times New Roman" w:hint="default"/>
      </w:rPr>
    </w:lvl>
    <w:lvl w:ilvl="2" w:tplc="D7FC9302" w:tentative="1">
      <w:start w:val="1"/>
      <w:numFmt w:val="bullet"/>
      <w:lvlText w:val="•"/>
      <w:lvlJc w:val="left"/>
      <w:pPr>
        <w:tabs>
          <w:tab w:val="num" w:pos="2160"/>
        </w:tabs>
        <w:ind w:left="2160" w:hanging="360"/>
      </w:pPr>
      <w:rPr>
        <w:rFonts w:ascii="Times New Roman" w:hAnsi="Times New Roman" w:hint="default"/>
      </w:rPr>
    </w:lvl>
    <w:lvl w:ilvl="3" w:tplc="59C204E8" w:tentative="1">
      <w:start w:val="1"/>
      <w:numFmt w:val="bullet"/>
      <w:lvlText w:val="•"/>
      <w:lvlJc w:val="left"/>
      <w:pPr>
        <w:tabs>
          <w:tab w:val="num" w:pos="2880"/>
        </w:tabs>
        <w:ind w:left="2880" w:hanging="360"/>
      </w:pPr>
      <w:rPr>
        <w:rFonts w:ascii="Times New Roman" w:hAnsi="Times New Roman" w:hint="default"/>
      </w:rPr>
    </w:lvl>
    <w:lvl w:ilvl="4" w:tplc="B7863EDE" w:tentative="1">
      <w:start w:val="1"/>
      <w:numFmt w:val="bullet"/>
      <w:lvlText w:val="•"/>
      <w:lvlJc w:val="left"/>
      <w:pPr>
        <w:tabs>
          <w:tab w:val="num" w:pos="3600"/>
        </w:tabs>
        <w:ind w:left="3600" w:hanging="360"/>
      </w:pPr>
      <w:rPr>
        <w:rFonts w:ascii="Times New Roman" w:hAnsi="Times New Roman" w:hint="default"/>
      </w:rPr>
    </w:lvl>
    <w:lvl w:ilvl="5" w:tplc="438EF156" w:tentative="1">
      <w:start w:val="1"/>
      <w:numFmt w:val="bullet"/>
      <w:lvlText w:val="•"/>
      <w:lvlJc w:val="left"/>
      <w:pPr>
        <w:tabs>
          <w:tab w:val="num" w:pos="4320"/>
        </w:tabs>
        <w:ind w:left="4320" w:hanging="360"/>
      </w:pPr>
      <w:rPr>
        <w:rFonts w:ascii="Times New Roman" w:hAnsi="Times New Roman" w:hint="default"/>
      </w:rPr>
    </w:lvl>
    <w:lvl w:ilvl="6" w:tplc="FB4A007A" w:tentative="1">
      <w:start w:val="1"/>
      <w:numFmt w:val="bullet"/>
      <w:lvlText w:val="•"/>
      <w:lvlJc w:val="left"/>
      <w:pPr>
        <w:tabs>
          <w:tab w:val="num" w:pos="5040"/>
        </w:tabs>
        <w:ind w:left="5040" w:hanging="360"/>
      </w:pPr>
      <w:rPr>
        <w:rFonts w:ascii="Times New Roman" w:hAnsi="Times New Roman" w:hint="default"/>
      </w:rPr>
    </w:lvl>
    <w:lvl w:ilvl="7" w:tplc="B8BEDF14" w:tentative="1">
      <w:start w:val="1"/>
      <w:numFmt w:val="bullet"/>
      <w:lvlText w:val="•"/>
      <w:lvlJc w:val="left"/>
      <w:pPr>
        <w:tabs>
          <w:tab w:val="num" w:pos="5760"/>
        </w:tabs>
        <w:ind w:left="5760" w:hanging="360"/>
      </w:pPr>
      <w:rPr>
        <w:rFonts w:ascii="Times New Roman" w:hAnsi="Times New Roman" w:hint="default"/>
      </w:rPr>
    </w:lvl>
    <w:lvl w:ilvl="8" w:tplc="B1848974" w:tentative="1">
      <w:start w:val="1"/>
      <w:numFmt w:val="bullet"/>
      <w:lvlText w:val="•"/>
      <w:lvlJc w:val="left"/>
      <w:pPr>
        <w:tabs>
          <w:tab w:val="num" w:pos="6480"/>
        </w:tabs>
        <w:ind w:left="6480" w:hanging="360"/>
      </w:pPr>
      <w:rPr>
        <w:rFonts w:ascii="Times New Roman" w:hAnsi="Times New Roman" w:hint="default"/>
      </w:rPr>
    </w:lvl>
  </w:abstractNum>
  <w:abstractNum w:abstractNumId="4">
    <w:nsid w:val="6E370571"/>
    <w:multiLevelType w:val="hybridMultilevel"/>
    <w:tmpl w:val="DC4E147A"/>
    <w:lvl w:ilvl="0" w:tplc="D19C0E74">
      <w:start w:val="1"/>
      <w:numFmt w:val="bullet"/>
      <w:lvlText w:val="•"/>
      <w:lvlJc w:val="left"/>
      <w:pPr>
        <w:tabs>
          <w:tab w:val="num" w:pos="720"/>
        </w:tabs>
        <w:ind w:left="720" w:hanging="360"/>
      </w:pPr>
      <w:rPr>
        <w:rFonts w:ascii="Times New Roman" w:hAnsi="Times New Roman" w:hint="default"/>
      </w:rPr>
    </w:lvl>
    <w:lvl w:ilvl="1" w:tplc="E0BC3256" w:tentative="1">
      <w:start w:val="1"/>
      <w:numFmt w:val="bullet"/>
      <w:lvlText w:val="•"/>
      <w:lvlJc w:val="left"/>
      <w:pPr>
        <w:tabs>
          <w:tab w:val="num" w:pos="1440"/>
        </w:tabs>
        <w:ind w:left="1440" w:hanging="360"/>
      </w:pPr>
      <w:rPr>
        <w:rFonts w:ascii="Times New Roman" w:hAnsi="Times New Roman" w:hint="default"/>
      </w:rPr>
    </w:lvl>
    <w:lvl w:ilvl="2" w:tplc="558679DE" w:tentative="1">
      <w:start w:val="1"/>
      <w:numFmt w:val="bullet"/>
      <w:lvlText w:val="•"/>
      <w:lvlJc w:val="left"/>
      <w:pPr>
        <w:tabs>
          <w:tab w:val="num" w:pos="2160"/>
        </w:tabs>
        <w:ind w:left="2160" w:hanging="360"/>
      </w:pPr>
      <w:rPr>
        <w:rFonts w:ascii="Times New Roman" w:hAnsi="Times New Roman" w:hint="default"/>
      </w:rPr>
    </w:lvl>
    <w:lvl w:ilvl="3" w:tplc="E0246588" w:tentative="1">
      <w:start w:val="1"/>
      <w:numFmt w:val="bullet"/>
      <w:lvlText w:val="•"/>
      <w:lvlJc w:val="left"/>
      <w:pPr>
        <w:tabs>
          <w:tab w:val="num" w:pos="2880"/>
        </w:tabs>
        <w:ind w:left="2880" w:hanging="360"/>
      </w:pPr>
      <w:rPr>
        <w:rFonts w:ascii="Times New Roman" w:hAnsi="Times New Roman" w:hint="default"/>
      </w:rPr>
    </w:lvl>
    <w:lvl w:ilvl="4" w:tplc="8604ADE0" w:tentative="1">
      <w:start w:val="1"/>
      <w:numFmt w:val="bullet"/>
      <w:lvlText w:val="•"/>
      <w:lvlJc w:val="left"/>
      <w:pPr>
        <w:tabs>
          <w:tab w:val="num" w:pos="3600"/>
        </w:tabs>
        <w:ind w:left="3600" w:hanging="360"/>
      </w:pPr>
      <w:rPr>
        <w:rFonts w:ascii="Times New Roman" w:hAnsi="Times New Roman" w:hint="default"/>
      </w:rPr>
    </w:lvl>
    <w:lvl w:ilvl="5" w:tplc="0180D6A2" w:tentative="1">
      <w:start w:val="1"/>
      <w:numFmt w:val="bullet"/>
      <w:lvlText w:val="•"/>
      <w:lvlJc w:val="left"/>
      <w:pPr>
        <w:tabs>
          <w:tab w:val="num" w:pos="4320"/>
        </w:tabs>
        <w:ind w:left="4320" w:hanging="360"/>
      </w:pPr>
      <w:rPr>
        <w:rFonts w:ascii="Times New Roman" w:hAnsi="Times New Roman" w:hint="default"/>
      </w:rPr>
    </w:lvl>
    <w:lvl w:ilvl="6" w:tplc="9B2432A6" w:tentative="1">
      <w:start w:val="1"/>
      <w:numFmt w:val="bullet"/>
      <w:lvlText w:val="•"/>
      <w:lvlJc w:val="left"/>
      <w:pPr>
        <w:tabs>
          <w:tab w:val="num" w:pos="5040"/>
        </w:tabs>
        <w:ind w:left="5040" w:hanging="360"/>
      </w:pPr>
      <w:rPr>
        <w:rFonts w:ascii="Times New Roman" w:hAnsi="Times New Roman" w:hint="default"/>
      </w:rPr>
    </w:lvl>
    <w:lvl w:ilvl="7" w:tplc="6C6A7E0E" w:tentative="1">
      <w:start w:val="1"/>
      <w:numFmt w:val="bullet"/>
      <w:lvlText w:val="•"/>
      <w:lvlJc w:val="left"/>
      <w:pPr>
        <w:tabs>
          <w:tab w:val="num" w:pos="5760"/>
        </w:tabs>
        <w:ind w:left="5760" w:hanging="360"/>
      </w:pPr>
      <w:rPr>
        <w:rFonts w:ascii="Times New Roman" w:hAnsi="Times New Roman" w:hint="default"/>
      </w:rPr>
    </w:lvl>
    <w:lvl w:ilvl="8" w:tplc="63BC7B34" w:tentative="1">
      <w:start w:val="1"/>
      <w:numFmt w:val="bullet"/>
      <w:lvlText w:val="•"/>
      <w:lvlJc w:val="left"/>
      <w:pPr>
        <w:tabs>
          <w:tab w:val="num" w:pos="6480"/>
        </w:tabs>
        <w:ind w:left="6480" w:hanging="360"/>
      </w:pPr>
      <w:rPr>
        <w:rFonts w:ascii="Times New Roman" w:hAnsi="Times New Roman" w:hint="default"/>
      </w:rPr>
    </w:lvl>
  </w:abstractNum>
  <w:abstractNum w:abstractNumId="5">
    <w:nsid w:val="74830D62"/>
    <w:multiLevelType w:val="hybridMultilevel"/>
    <w:tmpl w:val="2230EE3C"/>
    <w:lvl w:ilvl="0" w:tplc="2CE26648">
      <w:start w:val="1"/>
      <w:numFmt w:val="bullet"/>
      <w:lvlText w:val=""/>
      <w:lvlJc w:val="left"/>
      <w:pPr>
        <w:tabs>
          <w:tab w:val="num" w:pos="720"/>
        </w:tabs>
        <w:ind w:left="720" w:hanging="360"/>
      </w:pPr>
      <w:rPr>
        <w:rFonts w:ascii="Wingdings" w:hAnsi="Wingdings" w:hint="default"/>
      </w:rPr>
    </w:lvl>
    <w:lvl w:ilvl="1" w:tplc="3F4CC8E8">
      <w:start w:val="2558"/>
      <w:numFmt w:val="bullet"/>
      <w:lvlText w:val=""/>
      <w:lvlJc w:val="left"/>
      <w:pPr>
        <w:tabs>
          <w:tab w:val="num" w:pos="1440"/>
        </w:tabs>
        <w:ind w:left="1440" w:hanging="360"/>
      </w:pPr>
      <w:rPr>
        <w:rFonts w:ascii="Wingdings" w:hAnsi="Wingdings" w:hint="default"/>
      </w:rPr>
    </w:lvl>
    <w:lvl w:ilvl="2" w:tplc="EB583EFC" w:tentative="1">
      <w:start w:val="1"/>
      <w:numFmt w:val="bullet"/>
      <w:lvlText w:val=""/>
      <w:lvlJc w:val="left"/>
      <w:pPr>
        <w:tabs>
          <w:tab w:val="num" w:pos="2160"/>
        </w:tabs>
        <w:ind w:left="2160" w:hanging="360"/>
      </w:pPr>
      <w:rPr>
        <w:rFonts w:ascii="Wingdings" w:hAnsi="Wingdings" w:hint="default"/>
      </w:rPr>
    </w:lvl>
    <w:lvl w:ilvl="3" w:tplc="B36E1C20" w:tentative="1">
      <w:start w:val="1"/>
      <w:numFmt w:val="bullet"/>
      <w:lvlText w:val=""/>
      <w:lvlJc w:val="left"/>
      <w:pPr>
        <w:tabs>
          <w:tab w:val="num" w:pos="2880"/>
        </w:tabs>
        <w:ind w:left="2880" w:hanging="360"/>
      </w:pPr>
      <w:rPr>
        <w:rFonts w:ascii="Wingdings" w:hAnsi="Wingdings" w:hint="default"/>
      </w:rPr>
    </w:lvl>
    <w:lvl w:ilvl="4" w:tplc="7978931E" w:tentative="1">
      <w:start w:val="1"/>
      <w:numFmt w:val="bullet"/>
      <w:lvlText w:val=""/>
      <w:lvlJc w:val="left"/>
      <w:pPr>
        <w:tabs>
          <w:tab w:val="num" w:pos="3600"/>
        </w:tabs>
        <w:ind w:left="3600" w:hanging="360"/>
      </w:pPr>
      <w:rPr>
        <w:rFonts w:ascii="Wingdings" w:hAnsi="Wingdings" w:hint="default"/>
      </w:rPr>
    </w:lvl>
    <w:lvl w:ilvl="5" w:tplc="60FC059C" w:tentative="1">
      <w:start w:val="1"/>
      <w:numFmt w:val="bullet"/>
      <w:lvlText w:val=""/>
      <w:lvlJc w:val="left"/>
      <w:pPr>
        <w:tabs>
          <w:tab w:val="num" w:pos="4320"/>
        </w:tabs>
        <w:ind w:left="4320" w:hanging="360"/>
      </w:pPr>
      <w:rPr>
        <w:rFonts w:ascii="Wingdings" w:hAnsi="Wingdings" w:hint="default"/>
      </w:rPr>
    </w:lvl>
    <w:lvl w:ilvl="6" w:tplc="6E506F5C" w:tentative="1">
      <w:start w:val="1"/>
      <w:numFmt w:val="bullet"/>
      <w:lvlText w:val=""/>
      <w:lvlJc w:val="left"/>
      <w:pPr>
        <w:tabs>
          <w:tab w:val="num" w:pos="5040"/>
        </w:tabs>
        <w:ind w:left="5040" w:hanging="360"/>
      </w:pPr>
      <w:rPr>
        <w:rFonts w:ascii="Wingdings" w:hAnsi="Wingdings" w:hint="default"/>
      </w:rPr>
    </w:lvl>
    <w:lvl w:ilvl="7" w:tplc="A8E0215A" w:tentative="1">
      <w:start w:val="1"/>
      <w:numFmt w:val="bullet"/>
      <w:lvlText w:val=""/>
      <w:lvlJc w:val="left"/>
      <w:pPr>
        <w:tabs>
          <w:tab w:val="num" w:pos="5760"/>
        </w:tabs>
        <w:ind w:left="5760" w:hanging="360"/>
      </w:pPr>
      <w:rPr>
        <w:rFonts w:ascii="Wingdings" w:hAnsi="Wingdings" w:hint="default"/>
      </w:rPr>
    </w:lvl>
    <w:lvl w:ilvl="8" w:tplc="D3D41E80" w:tentative="1">
      <w:start w:val="1"/>
      <w:numFmt w:val="bullet"/>
      <w:lvlText w:val=""/>
      <w:lvlJc w:val="left"/>
      <w:pPr>
        <w:tabs>
          <w:tab w:val="num" w:pos="6480"/>
        </w:tabs>
        <w:ind w:left="6480" w:hanging="360"/>
      </w:pPr>
      <w:rPr>
        <w:rFonts w:ascii="Wingdings" w:hAnsi="Wingdings" w:hint="default"/>
      </w:rPr>
    </w:lvl>
  </w:abstractNum>
  <w:abstractNum w:abstractNumId="6">
    <w:nsid w:val="7E91650B"/>
    <w:multiLevelType w:val="hybridMultilevel"/>
    <w:tmpl w:val="5C5A4F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6"/>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29E"/>
    <w:rsid w:val="000254F4"/>
    <w:rsid w:val="00030168"/>
    <w:rsid w:val="000565E1"/>
    <w:rsid w:val="00095338"/>
    <w:rsid w:val="0028021F"/>
    <w:rsid w:val="002F6D1C"/>
    <w:rsid w:val="003174CF"/>
    <w:rsid w:val="003C7C7A"/>
    <w:rsid w:val="00442B30"/>
    <w:rsid w:val="004A2124"/>
    <w:rsid w:val="00552396"/>
    <w:rsid w:val="00620C9B"/>
    <w:rsid w:val="007272C7"/>
    <w:rsid w:val="007C7150"/>
    <w:rsid w:val="008978B2"/>
    <w:rsid w:val="008C029E"/>
    <w:rsid w:val="009959B5"/>
    <w:rsid w:val="00A45D2C"/>
    <w:rsid w:val="00A63C2D"/>
    <w:rsid w:val="00AF4D9A"/>
    <w:rsid w:val="00C16F01"/>
    <w:rsid w:val="00CD04A7"/>
    <w:rsid w:val="00DE6308"/>
    <w:rsid w:val="00EA29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42B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42B30"/>
    <w:rPr>
      <w:rFonts w:ascii="Tahoma" w:hAnsi="Tahoma" w:cs="Tahoma"/>
      <w:sz w:val="16"/>
      <w:szCs w:val="16"/>
    </w:rPr>
  </w:style>
  <w:style w:type="paragraph" w:styleId="NormalWeb">
    <w:name w:val="Normal (Web)"/>
    <w:basedOn w:val="Normal"/>
    <w:uiPriority w:val="99"/>
    <w:semiHidden/>
    <w:unhideWhenUsed/>
    <w:rsid w:val="00A63C2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030168"/>
    <w:pPr>
      <w:ind w:left="720"/>
      <w:contextualSpacing/>
    </w:pPr>
  </w:style>
  <w:style w:type="paragraph" w:customStyle="1" w:styleId="Default">
    <w:name w:val="Default"/>
    <w:rsid w:val="004A2124"/>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42B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42B30"/>
    <w:rPr>
      <w:rFonts w:ascii="Tahoma" w:hAnsi="Tahoma" w:cs="Tahoma"/>
      <w:sz w:val="16"/>
      <w:szCs w:val="16"/>
    </w:rPr>
  </w:style>
  <w:style w:type="paragraph" w:styleId="NormalWeb">
    <w:name w:val="Normal (Web)"/>
    <w:basedOn w:val="Normal"/>
    <w:uiPriority w:val="99"/>
    <w:semiHidden/>
    <w:unhideWhenUsed/>
    <w:rsid w:val="00A63C2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030168"/>
    <w:pPr>
      <w:ind w:left="720"/>
      <w:contextualSpacing/>
    </w:pPr>
  </w:style>
  <w:style w:type="paragraph" w:customStyle="1" w:styleId="Default">
    <w:name w:val="Default"/>
    <w:rsid w:val="004A212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00783">
      <w:bodyDiv w:val="1"/>
      <w:marLeft w:val="0"/>
      <w:marRight w:val="0"/>
      <w:marTop w:val="0"/>
      <w:marBottom w:val="0"/>
      <w:divBdr>
        <w:top w:val="none" w:sz="0" w:space="0" w:color="auto"/>
        <w:left w:val="none" w:sz="0" w:space="0" w:color="auto"/>
        <w:bottom w:val="none" w:sz="0" w:space="0" w:color="auto"/>
        <w:right w:val="none" w:sz="0" w:space="0" w:color="auto"/>
      </w:divBdr>
      <w:divsChild>
        <w:div w:id="782696517">
          <w:marLeft w:val="547"/>
          <w:marRight w:val="0"/>
          <w:marTop w:val="115"/>
          <w:marBottom w:val="0"/>
          <w:divBdr>
            <w:top w:val="none" w:sz="0" w:space="0" w:color="auto"/>
            <w:left w:val="none" w:sz="0" w:space="0" w:color="auto"/>
            <w:bottom w:val="none" w:sz="0" w:space="0" w:color="auto"/>
            <w:right w:val="none" w:sz="0" w:space="0" w:color="auto"/>
          </w:divBdr>
        </w:div>
        <w:div w:id="1344014510">
          <w:marLeft w:val="547"/>
          <w:marRight w:val="0"/>
          <w:marTop w:val="115"/>
          <w:marBottom w:val="0"/>
          <w:divBdr>
            <w:top w:val="none" w:sz="0" w:space="0" w:color="auto"/>
            <w:left w:val="none" w:sz="0" w:space="0" w:color="auto"/>
            <w:bottom w:val="none" w:sz="0" w:space="0" w:color="auto"/>
            <w:right w:val="none" w:sz="0" w:space="0" w:color="auto"/>
          </w:divBdr>
        </w:div>
        <w:div w:id="645814949">
          <w:marLeft w:val="547"/>
          <w:marRight w:val="0"/>
          <w:marTop w:val="115"/>
          <w:marBottom w:val="0"/>
          <w:divBdr>
            <w:top w:val="none" w:sz="0" w:space="0" w:color="auto"/>
            <w:left w:val="none" w:sz="0" w:space="0" w:color="auto"/>
            <w:bottom w:val="none" w:sz="0" w:space="0" w:color="auto"/>
            <w:right w:val="none" w:sz="0" w:space="0" w:color="auto"/>
          </w:divBdr>
        </w:div>
      </w:divsChild>
    </w:div>
    <w:div w:id="849494276">
      <w:bodyDiv w:val="1"/>
      <w:marLeft w:val="0"/>
      <w:marRight w:val="0"/>
      <w:marTop w:val="0"/>
      <w:marBottom w:val="0"/>
      <w:divBdr>
        <w:top w:val="none" w:sz="0" w:space="0" w:color="auto"/>
        <w:left w:val="none" w:sz="0" w:space="0" w:color="auto"/>
        <w:bottom w:val="none" w:sz="0" w:space="0" w:color="auto"/>
        <w:right w:val="none" w:sz="0" w:space="0" w:color="auto"/>
      </w:divBdr>
    </w:div>
    <w:div w:id="1039663867">
      <w:bodyDiv w:val="1"/>
      <w:marLeft w:val="0"/>
      <w:marRight w:val="0"/>
      <w:marTop w:val="0"/>
      <w:marBottom w:val="0"/>
      <w:divBdr>
        <w:top w:val="none" w:sz="0" w:space="0" w:color="auto"/>
        <w:left w:val="none" w:sz="0" w:space="0" w:color="auto"/>
        <w:bottom w:val="none" w:sz="0" w:space="0" w:color="auto"/>
        <w:right w:val="none" w:sz="0" w:space="0" w:color="auto"/>
      </w:divBdr>
      <w:divsChild>
        <w:div w:id="1922176335">
          <w:marLeft w:val="720"/>
          <w:marRight w:val="0"/>
          <w:marTop w:val="120"/>
          <w:marBottom w:val="0"/>
          <w:divBdr>
            <w:top w:val="none" w:sz="0" w:space="0" w:color="auto"/>
            <w:left w:val="none" w:sz="0" w:space="0" w:color="auto"/>
            <w:bottom w:val="none" w:sz="0" w:space="0" w:color="auto"/>
            <w:right w:val="none" w:sz="0" w:space="0" w:color="auto"/>
          </w:divBdr>
        </w:div>
        <w:div w:id="648900315">
          <w:marLeft w:val="1411"/>
          <w:marRight w:val="0"/>
          <w:marTop w:val="100"/>
          <w:marBottom w:val="0"/>
          <w:divBdr>
            <w:top w:val="none" w:sz="0" w:space="0" w:color="auto"/>
            <w:left w:val="none" w:sz="0" w:space="0" w:color="auto"/>
            <w:bottom w:val="none" w:sz="0" w:space="0" w:color="auto"/>
            <w:right w:val="none" w:sz="0" w:space="0" w:color="auto"/>
          </w:divBdr>
        </w:div>
        <w:div w:id="1958486947">
          <w:marLeft w:val="1411"/>
          <w:marRight w:val="0"/>
          <w:marTop w:val="100"/>
          <w:marBottom w:val="0"/>
          <w:divBdr>
            <w:top w:val="none" w:sz="0" w:space="0" w:color="auto"/>
            <w:left w:val="none" w:sz="0" w:space="0" w:color="auto"/>
            <w:bottom w:val="none" w:sz="0" w:space="0" w:color="auto"/>
            <w:right w:val="none" w:sz="0" w:space="0" w:color="auto"/>
          </w:divBdr>
        </w:div>
        <w:div w:id="892816224">
          <w:marLeft w:val="1411"/>
          <w:marRight w:val="0"/>
          <w:marTop w:val="100"/>
          <w:marBottom w:val="0"/>
          <w:divBdr>
            <w:top w:val="none" w:sz="0" w:space="0" w:color="auto"/>
            <w:left w:val="none" w:sz="0" w:space="0" w:color="auto"/>
            <w:bottom w:val="none" w:sz="0" w:space="0" w:color="auto"/>
            <w:right w:val="none" w:sz="0" w:space="0" w:color="auto"/>
          </w:divBdr>
        </w:div>
      </w:divsChild>
    </w:div>
    <w:div w:id="209940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9765C-8F06-4179-B7AF-51369D031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916</Words>
  <Characters>5044</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CONSEIL GENERAL DE L'ESSONNE</Company>
  <LinksUpToDate>false</LinksUpToDate>
  <CharactersWithSpaces>5949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MDesbouis</dc:creator>
  <cp:keywords/>
  <dc:description/>
  <cp:lastModifiedBy>MDesbouis</cp:lastModifiedBy>
  <cp:revision>4</cp:revision>
  <cp:lastPrinted>2014-11-20T13:49:00Z</cp:lastPrinted>
  <dcterms:created xsi:type="dcterms:W3CDTF">2014-11-19T15:34:00Z</dcterms:created>
  <dcterms:modified xsi:type="dcterms:W3CDTF">2014-11-20T13:50:00Z</dcterms:modified>
</cp:coreProperties>
</file>