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B30" w:rsidRDefault="00442B30"/>
    <w:p w:rsidR="00442B30" w:rsidRDefault="00442B30" w:rsidP="00442B30">
      <w:pPr>
        <w:jc w:val="center"/>
      </w:pPr>
    </w:p>
    <w:p w:rsidR="00442B30" w:rsidRDefault="00442B30" w:rsidP="00442B30">
      <w:pPr>
        <w:jc w:val="center"/>
      </w:pPr>
      <w:r>
        <w:rPr>
          <w:noProof/>
          <w:lang w:eastAsia="fr-FR"/>
        </w:rPr>
        <w:drawing>
          <wp:inline distT="0" distB="0" distL="0" distR="0" wp14:anchorId="23C8DF12" wp14:editId="6C227F44">
            <wp:extent cx="1426866" cy="783602"/>
            <wp:effectExtent l="0" t="0" r="1905" b="0"/>
            <wp:docPr id="1" name="Image 1" descr="http://egram.cg91.fr/ressources/assistance-et-conseil/communication/PublishingImages/Logo_EssonneNoir150x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gram.cg91.fr/ressources/assistance-et-conseil/communication/PublishingImages/Logo_EssonneNoir150x8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6845" cy="783590"/>
                    </a:xfrm>
                    <a:prstGeom prst="rect">
                      <a:avLst/>
                    </a:prstGeom>
                    <a:noFill/>
                    <a:ln>
                      <a:noFill/>
                    </a:ln>
                  </pic:spPr>
                </pic:pic>
              </a:graphicData>
            </a:graphic>
          </wp:inline>
        </w:drawing>
      </w:r>
    </w:p>
    <w:p w:rsidR="00442B30" w:rsidRDefault="00442B30" w:rsidP="00442B30">
      <w:pPr>
        <w:jc w:val="center"/>
      </w:pPr>
    </w:p>
    <w:p w:rsidR="00A63C2D" w:rsidRDefault="00A63C2D" w:rsidP="00442B30">
      <w:pPr>
        <w:jc w:val="center"/>
      </w:pPr>
    </w:p>
    <w:p w:rsidR="00A63C2D" w:rsidRDefault="00A63C2D" w:rsidP="00442B30">
      <w:pPr>
        <w:jc w:val="center"/>
      </w:pPr>
    </w:p>
    <w:p w:rsidR="00A63C2D" w:rsidRDefault="00A63C2D" w:rsidP="00442B30">
      <w:pPr>
        <w:jc w:val="center"/>
      </w:pPr>
    </w:p>
    <w:p w:rsidR="00442B30" w:rsidRPr="00A63C2D" w:rsidRDefault="00442B30" w:rsidP="00442B30">
      <w:pPr>
        <w:jc w:val="center"/>
        <w:rPr>
          <w:rFonts w:ascii="Arial" w:hAnsi="Arial" w:cs="Arial"/>
          <w:b/>
          <w:sz w:val="44"/>
          <w:szCs w:val="44"/>
        </w:rPr>
      </w:pPr>
      <w:r w:rsidRPr="00A63C2D">
        <w:rPr>
          <w:rFonts w:ascii="Arial" w:hAnsi="Arial" w:cs="Arial"/>
          <w:b/>
          <w:sz w:val="44"/>
          <w:szCs w:val="44"/>
        </w:rPr>
        <w:t>Les clauses sociales : un réseau en action</w:t>
      </w:r>
    </w:p>
    <w:p w:rsidR="00442B30" w:rsidRPr="00A63C2D" w:rsidRDefault="00442B30" w:rsidP="00442B30">
      <w:pPr>
        <w:jc w:val="center"/>
        <w:rPr>
          <w:rFonts w:ascii="Arial" w:hAnsi="Arial" w:cs="Arial"/>
          <w:b/>
          <w:i/>
          <w:sz w:val="44"/>
          <w:szCs w:val="44"/>
        </w:rPr>
      </w:pPr>
      <w:r w:rsidRPr="00A63C2D">
        <w:rPr>
          <w:rFonts w:ascii="Arial" w:hAnsi="Arial" w:cs="Arial"/>
          <w:b/>
          <w:i/>
          <w:sz w:val="44"/>
          <w:szCs w:val="44"/>
        </w:rPr>
        <w:t>1</w:t>
      </w:r>
      <w:r w:rsidRPr="00A63C2D">
        <w:rPr>
          <w:rFonts w:ascii="Arial" w:hAnsi="Arial" w:cs="Arial"/>
          <w:b/>
          <w:i/>
          <w:sz w:val="44"/>
          <w:szCs w:val="44"/>
          <w:vertAlign w:val="superscript"/>
        </w:rPr>
        <w:t>er</w:t>
      </w:r>
      <w:r w:rsidRPr="00A63C2D">
        <w:rPr>
          <w:rFonts w:ascii="Arial" w:hAnsi="Arial" w:cs="Arial"/>
          <w:b/>
          <w:i/>
          <w:sz w:val="44"/>
          <w:szCs w:val="44"/>
        </w:rPr>
        <w:t xml:space="preserve"> décembre 2014</w:t>
      </w:r>
    </w:p>
    <w:p w:rsidR="00442B30" w:rsidRPr="00A63C2D" w:rsidRDefault="00442B30" w:rsidP="00442B30">
      <w:pPr>
        <w:rPr>
          <w:rFonts w:ascii="Arial" w:hAnsi="Arial" w:cs="Arial"/>
        </w:rPr>
      </w:pPr>
    </w:p>
    <w:p w:rsidR="00442B30" w:rsidRPr="00A63C2D" w:rsidRDefault="00442B30" w:rsidP="00442B30">
      <w:pPr>
        <w:rPr>
          <w:rFonts w:ascii="Arial" w:hAnsi="Arial" w:cs="Arial"/>
        </w:rPr>
      </w:pPr>
    </w:p>
    <w:p w:rsidR="00442B30" w:rsidRPr="00A63C2D" w:rsidRDefault="00442B30" w:rsidP="00442B30">
      <w:pPr>
        <w:rPr>
          <w:rFonts w:ascii="Arial" w:hAnsi="Arial" w:cs="Arial"/>
        </w:rPr>
      </w:pPr>
    </w:p>
    <w:p w:rsidR="00442B30" w:rsidRPr="00A63C2D" w:rsidRDefault="00442B30" w:rsidP="00442B30">
      <w:pPr>
        <w:rPr>
          <w:rFonts w:ascii="Arial" w:hAnsi="Arial" w:cs="Arial"/>
        </w:rPr>
      </w:pPr>
      <w:bookmarkStart w:id="0" w:name="_GoBack"/>
      <w:bookmarkEnd w:id="0"/>
    </w:p>
    <w:p w:rsidR="00442B30" w:rsidRPr="00A63C2D" w:rsidRDefault="00442B30" w:rsidP="00442B30">
      <w:pPr>
        <w:rPr>
          <w:rFonts w:ascii="Arial" w:hAnsi="Arial" w:cs="Arial"/>
        </w:rPr>
      </w:pPr>
    </w:p>
    <w:p w:rsidR="00A63C2D" w:rsidRPr="00A63C2D" w:rsidRDefault="00A63C2D" w:rsidP="00A63C2D">
      <w:pPr>
        <w:pBdr>
          <w:top w:val="single" w:sz="4" w:space="1" w:color="auto"/>
          <w:left w:val="single" w:sz="4" w:space="4" w:color="auto"/>
          <w:bottom w:val="single" w:sz="4" w:space="1" w:color="auto"/>
          <w:right w:val="single" w:sz="4" w:space="4" w:color="auto"/>
        </w:pBdr>
        <w:spacing w:after="0"/>
        <w:jc w:val="center"/>
        <w:rPr>
          <w:rFonts w:ascii="Arial" w:hAnsi="Arial" w:cs="Arial"/>
          <w:sz w:val="28"/>
          <w:szCs w:val="28"/>
        </w:rPr>
      </w:pPr>
      <w:r w:rsidRPr="00A63C2D">
        <w:rPr>
          <w:rFonts w:ascii="Arial" w:hAnsi="Arial" w:cs="Arial"/>
          <w:sz w:val="28"/>
          <w:szCs w:val="28"/>
        </w:rPr>
        <w:t>L’article 14 :</w:t>
      </w:r>
    </w:p>
    <w:p w:rsidR="00442B30" w:rsidRPr="00A63C2D" w:rsidRDefault="00047653" w:rsidP="00A63C2D">
      <w:pPr>
        <w:pBdr>
          <w:top w:val="single" w:sz="4" w:space="1" w:color="auto"/>
          <w:left w:val="single" w:sz="4" w:space="4" w:color="auto"/>
          <w:bottom w:val="single" w:sz="4" w:space="1" w:color="auto"/>
          <w:right w:val="single" w:sz="4" w:space="4" w:color="auto"/>
        </w:pBdr>
        <w:spacing w:after="0"/>
        <w:jc w:val="center"/>
        <w:rPr>
          <w:rFonts w:ascii="Arial" w:hAnsi="Arial" w:cs="Arial"/>
          <w:sz w:val="28"/>
          <w:szCs w:val="28"/>
        </w:rPr>
      </w:pPr>
      <w:r>
        <w:rPr>
          <w:rFonts w:ascii="Arial" w:hAnsi="Arial" w:cs="Arial"/>
          <w:sz w:val="28"/>
          <w:szCs w:val="28"/>
        </w:rPr>
        <w:t>La c</w:t>
      </w:r>
      <w:r w:rsidR="00A63C2D" w:rsidRPr="00A63C2D">
        <w:rPr>
          <w:rFonts w:ascii="Arial" w:hAnsi="Arial" w:cs="Arial"/>
          <w:sz w:val="28"/>
          <w:szCs w:val="28"/>
        </w:rPr>
        <w:t>lause sociale comme condition d’exécution du marché</w:t>
      </w:r>
    </w:p>
    <w:p w:rsidR="00A63C2D" w:rsidRPr="00A63C2D" w:rsidRDefault="00A63C2D" w:rsidP="00A63C2D">
      <w:pPr>
        <w:spacing w:after="0"/>
        <w:jc w:val="center"/>
        <w:rPr>
          <w:rFonts w:ascii="Arial" w:hAnsi="Arial" w:cs="Arial"/>
          <w:sz w:val="24"/>
          <w:szCs w:val="24"/>
        </w:rPr>
      </w:pPr>
    </w:p>
    <w:p w:rsidR="00A63C2D" w:rsidRPr="00A63C2D" w:rsidRDefault="00A63C2D" w:rsidP="00A63C2D">
      <w:pPr>
        <w:spacing w:after="0"/>
        <w:jc w:val="center"/>
        <w:rPr>
          <w:rFonts w:ascii="Arial" w:hAnsi="Arial" w:cs="Arial"/>
          <w:sz w:val="24"/>
          <w:szCs w:val="24"/>
        </w:rPr>
      </w:pPr>
    </w:p>
    <w:p w:rsidR="00A63C2D" w:rsidRPr="00A63C2D" w:rsidRDefault="00A63C2D">
      <w:pPr>
        <w:rPr>
          <w:rFonts w:ascii="Arial" w:hAnsi="Arial" w:cs="Arial"/>
          <w:sz w:val="24"/>
          <w:szCs w:val="24"/>
        </w:rPr>
      </w:pPr>
      <w:r w:rsidRPr="00A63C2D">
        <w:rPr>
          <w:rFonts w:ascii="Arial" w:hAnsi="Arial" w:cs="Arial"/>
          <w:sz w:val="24"/>
          <w:szCs w:val="24"/>
        </w:rPr>
        <w:br w:type="page"/>
      </w:r>
    </w:p>
    <w:p w:rsidR="00A63C2D" w:rsidRDefault="00A63C2D" w:rsidP="00A63C2D">
      <w:pPr>
        <w:rPr>
          <w:rFonts w:ascii="Arial" w:hAnsi="Arial" w:cs="Arial"/>
          <w:sz w:val="24"/>
          <w:szCs w:val="24"/>
        </w:rPr>
      </w:pPr>
    </w:p>
    <w:p w:rsidR="003174CF" w:rsidRPr="009C0598" w:rsidRDefault="003174CF" w:rsidP="009C0598">
      <w:pPr>
        <w:keepNext/>
        <w:spacing w:before="240" w:after="240" w:line="240" w:lineRule="auto"/>
        <w:jc w:val="both"/>
        <w:outlineLvl w:val="1"/>
        <w:rPr>
          <w:rFonts w:ascii="Arial" w:eastAsia="Times New Roman" w:hAnsi="Arial" w:cs="Arial"/>
          <w:b/>
          <w:bCs/>
          <w:color w:val="800000"/>
          <w:sz w:val="28"/>
          <w:szCs w:val="28"/>
          <w:u w:val="single"/>
          <w:lang w:eastAsia="fr-FR"/>
        </w:rPr>
      </w:pPr>
      <w:bookmarkStart w:id="1" w:name="_Toc357168066"/>
      <w:bookmarkStart w:id="2" w:name="_Toc357168281"/>
      <w:bookmarkStart w:id="3" w:name="_Toc357587720"/>
      <w:bookmarkStart w:id="4" w:name="_Toc356999438"/>
      <w:r w:rsidRPr="009C0598">
        <w:rPr>
          <w:rFonts w:ascii="Arial" w:eastAsia="Times New Roman" w:hAnsi="Arial" w:cs="Arial"/>
          <w:b/>
          <w:bCs/>
          <w:color w:val="800000"/>
          <w:sz w:val="28"/>
          <w:szCs w:val="28"/>
          <w:u w:val="single"/>
          <w:lang w:eastAsia="fr-FR"/>
        </w:rPr>
        <w:t>Définition</w:t>
      </w:r>
      <w:bookmarkEnd w:id="1"/>
      <w:bookmarkEnd w:id="2"/>
      <w:bookmarkEnd w:id="3"/>
    </w:p>
    <w:p w:rsidR="003174CF" w:rsidRDefault="003174CF" w:rsidP="003174CF">
      <w:pPr>
        <w:rPr>
          <w:rFonts w:ascii="Arial" w:hAnsi="Arial" w:cs="Arial"/>
          <w:sz w:val="24"/>
          <w:szCs w:val="24"/>
        </w:rPr>
      </w:pPr>
      <w:r w:rsidRPr="003174CF">
        <w:rPr>
          <w:rFonts w:ascii="Arial" w:hAnsi="Arial" w:cs="Arial"/>
          <w:sz w:val="24"/>
          <w:szCs w:val="24"/>
        </w:rPr>
        <w:t>Les clauses sociales sont l’ensemble des dispositions du Code des marchés publics qui prévoient, dans le cadre de la satisfaction des besoins du pouvoir adjudicateur, l’embauche des personnes éloignées de l’emploi.</w:t>
      </w:r>
      <w:bookmarkEnd w:id="4"/>
    </w:p>
    <w:p w:rsidR="009C0598" w:rsidRPr="003174CF" w:rsidRDefault="009C0598" w:rsidP="003174CF">
      <w:pPr>
        <w:rPr>
          <w:rFonts w:ascii="Arial" w:hAnsi="Arial" w:cs="Arial"/>
          <w:sz w:val="24"/>
          <w:szCs w:val="24"/>
        </w:rPr>
      </w:pPr>
    </w:p>
    <w:p w:rsidR="00A63C2D" w:rsidRPr="009C0598" w:rsidRDefault="00030168" w:rsidP="009C0598">
      <w:pPr>
        <w:keepNext/>
        <w:spacing w:before="240" w:after="240" w:line="240" w:lineRule="auto"/>
        <w:jc w:val="both"/>
        <w:outlineLvl w:val="1"/>
        <w:rPr>
          <w:rFonts w:ascii="Arial" w:eastAsia="Times New Roman" w:hAnsi="Arial" w:cs="Arial"/>
          <w:b/>
          <w:bCs/>
          <w:color w:val="800000"/>
          <w:sz w:val="28"/>
          <w:szCs w:val="28"/>
          <w:u w:val="single"/>
          <w:lang w:eastAsia="fr-FR"/>
        </w:rPr>
      </w:pPr>
      <w:r w:rsidRPr="009C0598">
        <w:rPr>
          <w:rFonts w:ascii="Arial" w:eastAsia="Times New Roman" w:hAnsi="Arial" w:cs="Arial"/>
          <w:b/>
          <w:bCs/>
          <w:color w:val="800000"/>
          <w:sz w:val="28"/>
          <w:szCs w:val="28"/>
          <w:u w:val="single"/>
          <w:lang w:eastAsia="fr-FR"/>
        </w:rPr>
        <w:t xml:space="preserve">L’article </w:t>
      </w:r>
      <w:r w:rsidR="00A63C2D" w:rsidRPr="009C0598">
        <w:rPr>
          <w:rFonts w:ascii="Arial" w:eastAsia="Times New Roman" w:hAnsi="Arial" w:cs="Arial"/>
          <w:b/>
          <w:bCs/>
          <w:color w:val="800000"/>
          <w:sz w:val="28"/>
          <w:szCs w:val="28"/>
          <w:u w:val="single"/>
          <w:lang w:eastAsia="fr-FR"/>
        </w:rPr>
        <w:t xml:space="preserve">14 : </w:t>
      </w:r>
      <w:r w:rsidRPr="009C0598">
        <w:rPr>
          <w:rFonts w:ascii="Arial" w:eastAsia="Times New Roman" w:hAnsi="Arial" w:cs="Arial"/>
          <w:b/>
          <w:bCs/>
          <w:color w:val="800000"/>
          <w:sz w:val="28"/>
          <w:szCs w:val="28"/>
          <w:u w:val="single"/>
          <w:lang w:eastAsia="fr-FR"/>
        </w:rPr>
        <w:t>l’insertion est une simple exécution du marché</w:t>
      </w:r>
    </w:p>
    <w:p w:rsidR="003174CF" w:rsidRPr="003174CF" w:rsidRDefault="002F6D1C" w:rsidP="003174CF">
      <w:pPr>
        <w:rPr>
          <w:rFonts w:ascii="Arial" w:hAnsi="Arial" w:cs="Arial"/>
        </w:rPr>
      </w:pPr>
      <w:r>
        <w:rPr>
          <w:rFonts w:ascii="Arial" w:hAnsi="Arial" w:cs="Arial"/>
        </w:rPr>
        <w:t xml:space="preserve">Selon l’article 14 </w:t>
      </w:r>
      <w:r w:rsidR="003174CF" w:rsidRPr="003174CF">
        <w:rPr>
          <w:rFonts w:ascii="Arial" w:hAnsi="Arial" w:cs="Arial"/>
        </w:rPr>
        <w:t xml:space="preserve">du Code des marchés publics, l’insertion est une </w:t>
      </w:r>
      <w:r w:rsidR="003174CF" w:rsidRPr="00F9522A">
        <w:rPr>
          <w:rFonts w:ascii="Arial" w:hAnsi="Arial" w:cs="Arial"/>
          <w:b/>
        </w:rPr>
        <w:t>condition d’exécution du marché</w:t>
      </w:r>
      <w:r w:rsidR="003174CF" w:rsidRPr="003174CF">
        <w:rPr>
          <w:rFonts w:ascii="Arial" w:hAnsi="Arial" w:cs="Arial"/>
        </w:rPr>
        <w:t>. Le titulaire du marché doit réaliser un nombre d’heures d’insertion minimum défini et calculé par le pouvoir adjudicateur.</w:t>
      </w:r>
    </w:p>
    <w:p w:rsidR="003174CF" w:rsidRDefault="003174CF" w:rsidP="003174CF">
      <w:pPr>
        <w:rPr>
          <w:rFonts w:ascii="Arial" w:hAnsi="Arial" w:cs="Arial"/>
        </w:rPr>
      </w:pPr>
      <w:r w:rsidRPr="003174CF">
        <w:rPr>
          <w:rFonts w:ascii="Arial" w:hAnsi="Arial" w:cs="Arial"/>
        </w:rPr>
        <w:t xml:space="preserve">Avec cet article, l’insertion n’est pas un critère et n’intervient pas dans le choix de l’entreprise. Simplement, l’entreprise qui soumissionne </w:t>
      </w:r>
      <w:r w:rsidRPr="006A5E81">
        <w:rPr>
          <w:rFonts w:ascii="Arial" w:hAnsi="Arial" w:cs="Arial"/>
          <w:b/>
        </w:rPr>
        <w:t>s’engage</w:t>
      </w:r>
      <w:r w:rsidRPr="003174CF">
        <w:rPr>
          <w:rFonts w:ascii="Arial" w:hAnsi="Arial" w:cs="Arial"/>
        </w:rPr>
        <w:t xml:space="preserve">, si elle est retenue, à réserver une part des heures de travail générées par le marché, à la réalisation d’une action d’insertion. Ce dispositif, prévu par l’article 14 du </w:t>
      </w:r>
      <w:r w:rsidR="006A5E81">
        <w:rPr>
          <w:rFonts w:ascii="Arial" w:hAnsi="Arial" w:cs="Arial"/>
        </w:rPr>
        <w:t>Code des Marchés Publics</w:t>
      </w:r>
      <w:r w:rsidRPr="003174CF">
        <w:rPr>
          <w:rFonts w:ascii="Arial" w:hAnsi="Arial" w:cs="Arial"/>
        </w:rPr>
        <w:t>, est connu sous l’appellation de « clause d’insertion » ou de « clause d’insertion et de promotion de l’emploi ».</w:t>
      </w:r>
    </w:p>
    <w:p w:rsidR="001F3223" w:rsidRDefault="001F3223" w:rsidP="003174CF">
      <w:pPr>
        <w:rPr>
          <w:rFonts w:ascii="Arial" w:hAnsi="Arial" w:cs="Arial"/>
        </w:rPr>
      </w:pPr>
      <w:r>
        <w:rPr>
          <w:rFonts w:ascii="Arial" w:hAnsi="Arial" w:cs="Arial"/>
        </w:rPr>
        <w:t>En outre, la clause sociale est un élément de conformité de l’offre. Elle est une des conditions d’exécution du marché que toute entreprise s’engage à respecter lors du dépôt de son offre. Un offre qui ne respecte pas l’ensemble des engagements prévus au contrat est réputée irrégulière.</w:t>
      </w:r>
    </w:p>
    <w:p w:rsidR="001F3223" w:rsidRDefault="001F3223" w:rsidP="003174CF">
      <w:pPr>
        <w:rPr>
          <w:rFonts w:ascii="Arial" w:hAnsi="Arial" w:cs="Arial"/>
        </w:rPr>
      </w:pPr>
      <w:r>
        <w:rPr>
          <w:rFonts w:ascii="Arial" w:hAnsi="Arial" w:cs="Arial"/>
        </w:rPr>
        <w:t>Utilisé seul, l’article 14 ne permet pas d’apprécier la qualité du contenu de l’offre en matière d’insertion. La mise en œuvre de cet article n’a pas d’incidence sur le choix de l’offre.</w:t>
      </w:r>
    </w:p>
    <w:p w:rsidR="001F3223" w:rsidRDefault="001F3223" w:rsidP="003174CF">
      <w:pPr>
        <w:rPr>
          <w:rFonts w:ascii="Arial" w:hAnsi="Arial" w:cs="Arial"/>
        </w:rPr>
      </w:pPr>
      <w:r>
        <w:rPr>
          <w:rFonts w:ascii="Arial" w:hAnsi="Arial" w:cs="Arial"/>
        </w:rPr>
        <w:t xml:space="preserve">L’acheteur doit veiller à </w:t>
      </w:r>
      <w:r w:rsidRPr="006A5E81">
        <w:rPr>
          <w:rFonts w:ascii="Arial" w:hAnsi="Arial" w:cs="Arial"/>
          <w:b/>
        </w:rPr>
        <w:t>l’absence d’effet discriminatoire</w:t>
      </w:r>
      <w:r>
        <w:rPr>
          <w:rFonts w:ascii="Arial" w:hAnsi="Arial" w:cs="Arial"/>
        </w:rPr>
        <w:t xml:space="preserve"> de la clause, celle-ci ne devant pas limiter la concurrence. Les obligations d’insertion qui s’imposent de manière identique à toutes les entreprises concurrentes, ont pour effet de placer celles-ci sur un pied d’égalité,  tant au point de vue de l’engagement des moyens qui leurs sont demandés qu’au point de vue de leur chance d’emporter le marché.</w:t>
      </w:r>
    </w:p>
    <w:p w:rsidR="001F3223" w:rsidRDefault="001F3223" w:rsidP="003174CF">
      <w:pPr>
        <w:rPr>
          <w:rFonts w:ascii="Arial" w:hAnsi="Arial" w:cs="Arial"/>
        </w:rPr>
      </w:pPr>
      <w:r>
        <w:rPr>
          <w:rFonts w:ascii="Arial" w:hAnsi="Arial" w:cs="Arial"/>
        </w:rPr>
        <w:t>La clause est insérée dans les pièces du Dossier de Consultation des Entreprises (DCE) et sur la publication (Avis d’Appel Public à la Concurrence)</w:t>
      </w:r>
    </w:p>
    <w:p w:rsidR="001F3223" w:rsidRDefault="001F3223" w:rsidP="006A5E81">
      <w:pPr>
        <w:jc w:val="right"/>
        <w:rPr>
          <w:rFonts w:ascii="Arial" w:hAnsi="Arial" w:cs="Arial"/>
          <w:i/>
        </w:rPr>
      </w:pPr>
      <w:r w:rsidRPr="006A5E81">
        <w:rPr>
          <w:rFonts w:ascii="Arial" w:hAnsi="Arial" w:cs="Arial"/>
          <w:i/>
        </w:rPr>
        <w:t>Ci-annexés, des modèles de clauses d’insertion (CCAP / AE)</w:t>
      </w:r>
    </w:p>
    <w:p w:rsidR="009C0598" w:rsidRPr="006A5E81" w:rsidRDefault="009C0598" w:rsidP="006A5E81">
      <w:pPr>
        <w:jc w:val="right"/>
        <w:rPr>
          <w:rFonts w:ascii="Arial" w:hAnsi="Arial" w:cs="Arial"/>
          <w:i/>
        </w:rPr>
      </w:pPr>
    </w:p>
    <w:p w:rsidR="00A63C2D" w:rsidRPr="009C0598" w:rsidRDefault="002F6D1C" w:rsidP="009C0598">
      <w:pPr>
        <w:keepNext/>
        <w:spacing w:before="240" w:after="240" w:line="240" w:lineRule="auto"/>
        <w:jc w:val="both"/>
        <w:outlineLvl w:val="1"/>
        <w:rPr>
          <w:rFonts w:ascii="Arial" w:eastAsia="Times New Roman" w:hAnsi="Arial" w:cs="Arial"/>
          <w:b/>
          <w:bCs/>
          <w:color w:val="800000"/>
          <w:sz w:val="28"/>
          <w:szCs w:val="28"/>
          <w:u w:val="single"/>
          <w:lang w:eastAsia="fr-FR"/>
        </w:rPr>
      </w:pPr>
      <w:r w:rsidRPr="009C0598">
        <w:rPr>
          <w:rFonts w:ascii="Arial" w:eastAsia="Times New Roman" w:hAnsi="Arial" w:cs="Arial"/>
          <w:b/>
          <w:bCs/>
          <w:color w:val="800000"/>
          <w:sz w:val="28"/>
          <w:szCs w:val="28"/>
          <w:u w:val="single"/>
          <w:lang w:eastAsia="fr-FR"/>
        </w:rPr>
        <w:t xml:space="preserve">Les marchés concernés </w:t>
      </w:r>
    </w:p>
    <w:p w:rsidR="00030168" w:rsidRDefault="00030168" w:rsidP="00723A23">
      <w:pPr>
        <w:pStyle w:val="Paragraphedeliste"/>
        <w:numPr>
          <w:ilvl w:val="0"/>
          <w:numId w:val="5"/>
        </w:numPr>
        <w:rPr>
          <w:rFonts w:ascii="Arial" w:hAnsi="Arial" w:cs="Arial"/>
          <w:b/>
          <w:i/>
          <w:color w:val="0070C0"/>
          <w:sz w:val="24"/>
          <w:szCs w:val="24"/>
        </w:rPr>
      </w:pPr>
      <w:r w:rsidRPr="008A4759">
        <w:rPr>
          <w:rFonts w:ascii="Arial" w:hAnsi="Arial" w:cs="Arial"/>
          <w:b/>
          <w:i/>
          <w:color w:val="0070C0"/>
          <w:sz w:val="24"/>
          <w:szCs w:val="24"/>
        </w:rPr>
        <w:t>Tous les marchés peuvent être concernés</w:t>
      </w:r>
    </w:p>
    <w:p w:rsidR="00F24059" w:rsidRPr="008A4759" w:rsidRDefault="00F24059" w:rsidP="00F24059">
      <w:pPr>
        <w:pStyle w:val="Paragraphedeliste"/>
        <w:numPr>
          <w:ilvl w:val="1"/>
          <w:numId w:val="5"/>
        </w:numPr>
        <w:rPr>
          <w:rFonts w:ascii="Arial" w:hAnsi="Arial" w:cs="Arial"/>
          <w:b/>
          <w:i/>
          <w:color w:val="0070C0"/>
          <w:sz w:val="24"/>
          <w:szCs w:val="24"/>
        </w:rPr>
      </w:pPr>
      <w:r>
        <w:rPr>
          <w:rFonts w:ascii="Arial" w:hAnsi="Arial" w:cs="Arial"/>
          <w:b/>
          <w:i/>
          <w:color w:val="0070C0"/>
          <w:sz w:val="24"/>
          <w:szCs w:val="24"/>
        </w:rPr>
        <w:t xml:space="preserve">Qu’ils soient à bons de commande ou </w:t>
      </w:r>
      <w:r w:rsidR="001F3223">
        <w:rPr>
          <w:rFonts w:ascii="Arial" w:hAnsi="Arial" w:cs="Arial"/>
          <w:b/>
          <w:i/>
          <w:color w:val="0070C0"/>
          <w:sz w:val="24"/>
          <w:szCs w:val="24"/>
        </w:rPr>
        <w:t>à prix global forfaitaire</w:t>
      </w:r>
    </w:p>
    <w:p w:rsidR="00030168" w:rsidRDefault="00030168" w:rsidP="00030168">
      <w:pPr>
        <w:rPr>
          <w:rFonts w:ascii="Arial" w:hAnsi="Arial" w:cs="Arial"/>
          <w:sz w:val="24"/>
          <w:szCs w:val="24"/>
        </w:rPr>
      </w:pPr>
      <w:r w:rsidRPr="00030168">
        <w:rPr>
          <w:rFonts w:ascii="Arial" w:hAnsi="Arial" w:cs="Arial"/>
          <w:b/>
          <w:sz w:val="24"/>
          <w:szCs w:val="24"/>
        </w:rPr>
        <w:t>Tous les marchés de travaux et de services</w:t>
      </w:r>
      <w:r>
        <w:rPr>
          <w:rFonts w:ascii="Arial" w:hAnsi="Arial" w:cs="Arial"/>
          <w:sz w:val="24"/>
          <w:szCs w:val="24"/>
        </w:rPr>
        <w:t xml:space="preserve"> peuvent être concernés. La clause sociale peut être appliquée à tous les secteurs d’activités : le bâtiment, les travaux </w:t>
      </w:r>
      <w:r>
        <w:rPr>
          <w:rFonts w:ascii="Arial" w:hAnsi="Arial" w:cs="Arial"/>
          <w:sz w:val="24"/>
          <w:szCs w:val="24"/>
        </w:rPr>
        <w:lastRenderedPageBreak/>
        <w:t>publics, le nettoyage, la collecte et le traitement des déchets, la restauration, l’entretien d’espaces verts…</w:t>
      </w:r>
    </w:p>
    <w:p w:rsidR="00030168" w:rsidRDefault="00030168" w:rsidP="00030168">
      <w:pPr>
        <w:rPr>
          <w:rFonts w:ascii="Arial" w:hAnsi="Arial" w:cs="Arial"/>
          <w:sz w:val="24"/>
          <w:szCs w:val="24"/>
        </w:rPr>
      </w:pPr>
      <w:r>
        <w:rPr>
          <w:rFonts w:ascii="Arial" w:hAnsi="Arial" w:cs="Arial"/>
          <w:sz w:val="24"/>
          <w:szCs w:val="24"/>
        </w:rPr>
        <w:t xml:space="preserve">Il est recommandé de diversifier son application si l’on veut prendre en compte toutes les personnes éloignées de l’emploi. En plus du secteur BTP, on peut par exemple envisager des clauses sociales sur </w:t>
      </w:r>
      <w:r w:rsidRPr="00030168">
        <w:rPr>
          <w:rFonts w:ascii="Arial" w:hAnsi="Arial" w:cs="Arial"/>
          <w:b/>
          <w:sz w:val="24"/>
          <w:szCs w:val="24"/>
        </w:rPr>
        <w:t>les marchés de prestation intellectuelle</w:t>
      </w:r>
      <w:r>
        <w:rPr>
          <w:rFonts w:ascii="Arial" w:hAnsi="Arial" w:cs="Arial"/>
          <w:sz w:val="24"/>
          <w:szCs w:val="24"/>
        </w:rPr>
        <w:t xml:space="preserve"> (ex : maîtrise d’œuvre) qui vont permettre de réserver des heures d’insertion à des jeunes diplômés qui peinent à trouver leur premier emploi.</w:t>
      </w:r>
    </w:p>
    <w:p w:rsidR="00030168" w:rsidRDefault="00030168" w:rsidP="00030168">
      <w:pPr>
        <w:rPr>
          <w:rFonts w:ascii="Arial" w:hAnsi="Arial" w:cs="Arial"/>
          <w:sz w:val="24"/>
          <w:szCs w:val="24"/>
        </w:rPr>
      </w:pPr>
      <w:r w:rsidRPr="00030168">
        <w:rPr>
          <w:rFonts w:ascii="Arial" w:hAnsi="Arial" w:cs="Arial"/>
          <w:b/>
          <w:sz w:val="24"/>
          <w:szCs w:val="24"/>
        </w:rPr>
        <w:t>Les marchés de fournitures</w:t>
      </w:r>
      <w:r>
        <w:rPr>
          <w:rFonts w:ascii="Arial" w:hAnsi="Arial" w:cs="Arial"/>
          <w:sz w:val="24"/>
          <w:szCs w:val="24"/>
        </w:rPr>
        <w:t xml:space="preserve"> sont moins propices à l’usage des clauses sociales car le fournisseur n’est pas souvent producteur et le marché génère un faible coût de main d’œuvre. Toutefois, il faut également rester attentif aux éventuelles opportunités qui peuvent se rencontrer dans ce type de marchés.</w:t>
      </w:r>
    </w:p>
    <w:p w:rsidR="009C0598" w:rsidRDefault="009C0598" w:rsidP="00030168">
      <w:pPr>
        <w:rPr>
          <w:rFonts w:ascii="Arial" w:hAnsi="Arial" w:cs="Arial"/>
          <w:sz w:val="24"/>
          <w:szCs w:val="24"/>
        </w:rPr>
      </w:pPr>
    </w:p>
    <w:p w:rsidR="00A44345" w:rsidRPr="009C0598" w:rsidRDefault="00A44345" w:rsidP="009C0598">
      <w:pPr>
        <w:keepNext/>
        <w:spacing w:before="240" w:after="240" w:line="240" w:lineRule="auto"/>
        <w:jc w:val="both"/>
        <w:outlineLvl w:val="1"/>
        <w:rPr>
          <w:rFonts w:ascii="Arial" w:eastAsia="Times New Roman" w:hAnsi="Arial" w:cs="Arial"/>
          <w:b/>
          <w:bCs/>
          <w:color w:val="800000"/>
          <w:sz w:val="28"/>
          <w:szCs w:val="28"/>
          <w:u w:val="single"/>
          <w:lang w:eastAsia="fr-FR"/>
        </w:rPr>
      </w:pPr>
      <w:r w:rsidRPr="009C0598">
        <w:rPr>
          <w:rFonts w:ascii="Arial" w:eastAsia="Times New Roman" w:hAnsi="Arial" w:cs="Arial"/>
          <w:b/>
          <w:bCs/>
          <w:color w:val="800000"/>
          <w:sz w:val="28"/>
          <w:szCs w:val="28"/>
          <w:u w:val="single"/>
          <w:lang w:eastAsia="fr-FR"/>
        </w:rPr>
        <w:t>Les options offertes à l’entreprise pour la mise en œuvre</w:t>
      </w:r>
      <w:r w:rsidR="009C0598" w:rsidRPr="009C0598">
        <w:rPr>
          <w:rFonts w:ascii="Arial" w:eastAsia="Times New Roman" w:hAnsi="Arial" w:cs="Arial"/>
          <w:b/>
          <w:bCs/>
          <w:color w:val="800000"/>
          <w:sz w:val="28"/>
          <w:szCs w:val="28"/>
          <w:u w:val="single"/>
          <w:lang w:eastAsia="fr-FR"/>
        </w:rPr>
        <w:t xml:space="preserve"> de l’insertion</w:t>
      </w:r>
    </w:p>
    <w:p w:rsidR="00A44345" w:rsidRDefault="00A44345" w:rsidP="00A44345">
      <w:pPr>
        <w:spacing w:after="0" w:line="240" w:lineRule="auto"/>
        <w:rPr>
          <w:rFonts w:ascii="Arial" w:hAnsi="Arial" w:cs="Arial"/>
          <w:sz w:val="24"/>
          <w:szCs w:val="24"/>
        </w:rPr>
      </w:pPr>
      <w:r w:rsidRPr="00A44345">
        <w:rPr>
          <w:rFonts w:ascii="Arial" w:hAnsi="Arial" w:cs="Arial"/>
          <w:sz w:val="24"/>
          <w:szCs w:val="24"/>
        </w:rPr>
        <w:t>L</w:t>
      </w:r>
      <w:r>
        <w:rPr>
          <w:rFonts w:ascii="Arial" w:hAnsi="Arial" w:cs="Arial"/>
          <w:sz w:val="24"/>
          <w:szCs w:val="24"/>
        </w:rPr>
        <w:t xml:space="preserve">es heures d’insertion peuvent être réalisées de différentes </w:t>
      </w:r>
      <w:proofErr w:type="gramStart"/>
      <w:r>
        <w:rPr>
          <w:rFonts w:ascii="Arial" w:hAnsi="Arial" w:cs="Arial"/>
          <w:sz w:val="24"/>
          <w:szCs w:val="24"/>
        </w:rPr>
        <w:t>manière</w:t>
      </w:r>
      <w:proofErr w:type="gramEnd"/>
      <w:r>
        <w:rPr>
          <w:rFonts w:ascii="Arial" w:hAnsi="Arial" w:cs="Arial"/>
          <w:sz w:val="24"/>
          <w:szCs w:val="24"/>
        </w:rPr>
        <w:t>, au choix de l’entreprise. Dans le cadre du dispositif mis en place, le département offre aux entreprises des solutions préparées et adaptées.</w:t>
      </w:r>
    </w:p>
    <w:p w:rsidR="00A44345" w:rsidRDefault="00A44345" w:rsidP="00A44345">
      <w:pPr>
        <w:spacing w:after="0" w:line="240" w:lineRule="auto"/>
        <w:rPr>
          <w:rFonts w:ascii="Arial" w:hAnsi="Arial" w:cs="Arial"/>
          <w:sz w:val="24"/>
          <w:szCs w:val="24"/>
        </w:rPr>
      </w:pPr>
    </w:p>
    <w:p w:rsidR="00A44345" w:rsidRDefault="00A44345" w:rsidP="00A44345">
      <w:pPr>
        <w:pStyle w:val="Paragraphedeliste"/>
        <w:numPr>
          <w:ilvl w:val="0"/>
          <w:numId w:val="5"/>
        </w:numPr>
        <w:rPr>
          <w:rFonts w:ascii="Arial" w:hAnsi="Arial" w:cs="Arial"/>
          <w:b/>
          <w:i/>
          <w:color w:val="0070C0"/>
          <w:sz w:val="24"/>
          <w:szCs w:val="24"/>
        </w:rPr>
      </w:pPr>
      <w:r>
        <w:rPr>
          <w:rFonts w:ascii="Arial" w:hAnsi="Arial" w:cs="Arial"/>
          <w:b/>
          <w:i/>
          <w:color w:val="0070C0"/>
          <w:sz w:val="24"/>
          <w:szCs w:val="24"/>
        </w:rPr>
        <w:t>Le recours à la sous-traitance</w:t>
      </w:r>
    </w:p>
    <w:p w:rsidR="00A44345" w:rsidRDefault="00A44345" w:rsidP="00A44345">
      <w:pPr>
        <w:spacing w:after="0" w:line="240" w:lineRule="auto"/>
        <w:rPr>
          <w:rFonts w:ascii="Arial" w:hAnsi="Arial" w:cs="Arial"/>
          <w:sz w:val="24"/>
          <w:szCs w:val="24"/>
        </w:rPr>
      </w:pPr>
      <w:r>
        <w:rPr>
          <w:rFonts w:ascii="Arial" w:hAnsi="Arial" w:cs="Arial"/>
          <w:sz w:val="24"/>
          <w:szCs w:val="24"/>
        </w:rPr>
        <w:t>L’entreprise conclut un contrat de sous-traitance avec une entreprise d’insertion. Cette possibilité de sous-traiter ne peut pas être imposée par le pouvoir adjudicateur. Ce principe a été rappelé par une réponse ministérielle en date du 10 février 2014.</w:t>
      </w:r>
    </w:p>
    <w:p w:rsidR="00A44345" w:rsidRDefault="00A44345" w:rsidP="00A44345">
      <w:pPr>
        <w:spacing w:after="0" w:line="240" w:lineRule="auto"/>
        <w:rPr>
          <w:rFonts w:ascii="Arial" w:hAnsi="Arial" w:cs="Arial"/>
          <w:sz w:val="24"/>
          <w:szCs w:val="24"/>
        </w:rPr>
      </w:pPr>
    </w:p>
    <w:p w:rsidR="00A44345" w:rsidRDefault="00A44345" w:rsidP="00A44345">
      <w:pPr>
        <w:spacing w:after="0" w:line="240" w:lineRule="auto"/>
        <w:rPr>
          <w:rFonts w:ascii="Arial" w:hAnsi="Arial" w:cs="Arial"/>
          <w:sz w:val="24"/>
          <w:szCs w:val="24"/>
        </w:rPr>
      </w:pPr>
      <w:r>
        <w:rPr>
          <w:rFonts w:ascii="Arial" w:hAnsi="Arial" w:cs="Arial"/>
          <w:sz w:val="24"/>
          <w:szCs w:val="24"/>
        </w:rPr>
        <w:t>La sous-traitance peut être proposée par l’entreprise lors du dépôt de l’offre ou après l’attribution du marché (Article 114 du Code des marchés publics).</w:t>
      </w:r>
    </w:p>
    <w:p w:rsidR="00A44345" w:rsidRDefault="00A44345" w:rsidP="00A44345">
      <w:pPr>
        <w:spacing w:after="0" w:line="240" w:lineRule="auto"/>
        <w:rPr>
          <w:rFonts w:ascii="Arial" w:hAnsi="Arial" w:cs="Arial"/>
          <w:sz w:val="24"/>
          <w:szCs w:val="24"/>
        </w:rPr>
      </w:pPr>
    </w:p>
    <w:p w:rsidR="00A44345" w:rsidRDefault="00A44345" w:rsidP="00A44345">
      <w:pPr>
        <w:pStyle w:val="Paragraphedeliste"/>
        <w:numPr>
          <w:ilvl w:val="0"/>
          <w:numId w:val="5"/>
        </w:numPr>
        <w:rPr>
          <w:rFonts w:ascii="Arial" w:hAnsi="Arial" w:cs="Arial"/>
          <w:b/>
          <w:i/>
          <w:color w:val="0070C0"/>
          <w:sz w:val="24"/>
          <w:szCs w:val="24"/>
        </w:rPr>
      </w:pPr>
      <w:r>
        <w:rPr>
          <w:rFonts w:ascii="Arial" w:hAnsi="Arial" w:cs="Arial"/>
          <w:b/>
          <w:i/>
          <w:color w:val="0070C0"/>
          <w:sz w:val="24"/>
          <w:szCs w:val="24"/>
        </w:rPr>
        <w:t xml:space="preserve">Le recours à la </w:t>
      </w:r>
      <w:proofErr w:type="spellStart"/>
      <w:r>
        <w:rPr>
          <w:rFonts w:ascii="Arial" w:hAnsi="Arial" w:cs="Arial"/>
          <w:b/>
          <w:i/>
          <w:color w:val="0070C0"/>
          <w:sz w:val="24"/>
          <w:szCs w:val="24"/>
        </w:rPr>
        <w:t>co-traitance</w:t>
      </w:r>
      <w:proofErr w:type="spellEnd"/>
    </w:p>
    <w:p w:rsidR="00A44345" w:rsidRDefault="009C0598" w:rsidP="00A44345">
      <w:pPr>
        <w:spacing w:after="0" w:line="240" w:lineRule="auto"/>
        <w:rPr>
          <w:rFonts w:ascii="Arial" w:hAnsi="Arial" w:cs="Arial"/>
          <w:sz w:val="24"/>
          <w:szCs w:val="24"/>
        </w:rPr>
      </w:pPr>
      <w:r>
        <w:rPr>
          <w:rFonts w:ascii="Arial" w:hAnsi="Arial" w:cs="Arial"/>
          <w:sz w:val="24"/>
          <w:szCs w:val="24"/>
        </w:rPr>
        <w:t xml:space="preserve">Dans le cas de la </w:t>
      </w:r>
      <w:proofErr w:type="spellStart"/>
      <w:r>
        <w:rPr>
          <w:rFonts w:ascii="Arial" w:hAnsi="Arial" w:cs="Arial"/>
          <w:sz w:val="24"/>
          <w:szCs w:val="24"/>
        </w:rPr>
        <w:t>co-traitance</w:t>
      </w:r>
      <w:proofErr w:type="spellEnd"/>
      <w:r>
        <w:rPr>
          <w:rFonts w:ascii="Arial" w:hAnsi="Arial" w:cs="Arial"/>
          <w:sz w:val="24"/>
          <w:szCs w:val="24"/>
        </w:rPr>
        <w:t>, l’entreprise et la structure d’insertion répondent en commun à la procédure de consultation, au moment du dépôt de l’offre, et s’engagent conjointement sur l’objectif d’insertion.</w:t>
      </w:r>
    </w:p>
    <w:p w:rsidR="009C0598" w:rsidRDefault="009C0598" w:rsidP="00A44345">
      <w:pPr>
        <w:spacing w:after="0" w:line="240" w:lineRule="auto"/>
        <w:rPr>
          <w:rFonts w:ascii="Arial" w:hAnsi="Arial" w:cs="Arial"/>
          <w:sz w:val="24"/>
          <w:szCs w:val="24"/>
        </w:rPr>
      </w:pPr>
    </w:p>
    <w:p w:rsidR="009C0598" w:rsidRDefault="009C0598" w:rsidP="009C0598">
      <w:pPr>
        <w:pStyle w:val="Paragraphedeliste"/>
        <w:numPr>
          <w:ilvl w:val="0"/>
          <w:numId w:val="5"/>
        </w:numPr>
        <w:rPr>
          <w:rFonts w:ascii="Arial" w:hAnsi="Arial" w:cs="Arial"/>
          <w:b/>
          <w:i/>
          <w:color w:val="0070C0"/>
          <w:sz w:val="24"/>
          <w:szCs w:val="24"/>
        </w:rPr>
      </w:pPr>
      <w:r>
        <w:rPr>
          <w:rFonts w:ascii="Arial" w:hAnsi="Arial" w:cs="Arial"/>
          <w:b/>
          <w:i/>
          <w:color w:val="0070C0"/>
          <w:sz w:val="24"/>
          <w:szCs w:val="24"/>
        </w:rPr>
        <w:t>La mise à disposition de salariés</w:t>
      </w:r>
    </w:p>
    <w:p w:rsidR="009C0598" w:rsidRDefault="009C0598" w:rsidP="00A44345">
      <w:pPr>
        <w:spacing w:after="0" w:line="240" w:lineRule="auto"/>
        <w:rPr>
          <w:rFonts w:ascii="Arial" w:hAnsi="Arial" w:cs="Arial"/>
          <w:sz w:val="24"/>
          <w:szCs w:val="24"/>
        </w:rPr>
      </w:pPr>
      <w:r>
        <w:rPr>
          <w:rFonts w:ascii="Arial" w:hAnsi="Arial" w:cs="Arial"/>
          <w:sz w:val="24"/>
          <w:szCs w:val="24"/>
        </w:rPr>
        <w:t>L’entreprise est en relation avec un organisme qui met à disposition des salariés en insertion durant la durée du marché. Il peut s’agir :</w:t>
      </w:r>
    </w:p>
    <w:p w:rsidR="009C0598" w:rsidRPr="009C0598" w:rsidRDefault="009C0598" w:rsidP="009C0598">
      <w:pPr>
        <w:pStyle w:val="Paragraphedeliste"/>
        <w:numPr>
          <w:ilvl w:val="1"/>
          <w:numId w:val="5"/>
        </w:numPr>
        <w:spacing w:after="0" w:line="240" w:lineRule="auto"/>
        <w:rPr>
          <w:rFonts w:ascii="Arial" w:hAnsi="Arial" w:cs="Arial"/>
          <w:sz w:val="24"/>
          <w:szCs w:val="24"/>
        </w:rPr>
      </w:pPr>
      <w:r>
        <w:rPr>
          <w:rFonts w:ascii="Arial" w:hAnsi="Arial" w:cs="Arial"/>
          <w:sz w:val="24"/>
          <w:szCs w:val="24"/>
        </w:rPr>
        <w:t xml:space="preserve">D’une </w:t>
      </w:r>
      <w:r w:rsidRPr="009C0598">
        <w:rPr>
          <w:rFonts w:ascii="Arial" w:hAnsi="Arial" w:cs="Arial"/>
          <w:sz w:val="24"/>
          <w:szCs w:val="24"/>
        </w:rPr>
        <w:t>entreprise de t</w:t>
      </w:r>
      <w:r>
        <w:rPr>
          <w:rFonts w:ascii="Arial" w:hAnsi="Arial" w:cs="Arial"/>
          <w:sz w:val="24"/>
          <w:szCs w:val="24"/>
        </w:rPr>
        <w:t>ravail temporaire d'insertion (</w:t>
      </w:r>
      <w:r w:rsidRPr="009C0598">
        <w:rPr>
          <w:rFonts w:ascii="Arial" w:hAnsi="Arial" w:cs="Arial"/>
          <w:sz w:val="24"/>
          <w:szCs w:val="24"/>
        </w:rPr>
        <w:t>ETTI</w:t>
      </w:r>
      <w:proofErr w:type="gramStart"/>
      <w:r w:rsidRPr="009C0598">
        <w:rPr>
          <w:rFonts w:ascii="Arial" w:hAnsi="Arial" w:cs="Arial"/>
          <w:sz w:val="24"/>
          <w:szCs w:val="24"/>
        </w:rPr>
        <w:t>)‏</w:t>
      </w:r>
      <w:proofErr w:type="gramEnd"/>
      <w:r w:rsidRPr="009C0598">
        <w:rPr>
          <w:rFonts w:ascii="Arial" w:hAnsi="Arial" w:cs="Arial"/>
          <w:sz w:val="24"/>
          <w:szCs w:val="24"/>
        </w:rPr>
        <w:t xml:space="preserve"> ou entreprise de travail temporaire (ETT)</w:t>
      </w:r>
    </w:p>
    <w:p w:rsidR="009C0598" w:rsidRPr="009C0598" w:rsidRDefault="009C0598" w:rsidP="009C0598">
      <w:pPr>
        <w:pStyle w:val="Paragraphedeliste"/>
        <w:numPr>
          <w:ilvl w:val="1"/>
          <w:numId w:val="5"/>
        </w:numPr>
        <w:spacing w:after="0" w:line="240" w:lineRule="auto"/>
        <w:rPr>
          <w:rFonts w:ascii="Arial" w:hAnsi="Arial" w:cs="Arial"/>
          <w:sz w:val="24"/>
          <w:szCs w:val="24"/>
        </w:rPr>
      </w:pPr>
      <w:r>
        <w:rPr>
          <w:rFonts w:ascii="Arial" w:hAnsi="Arial" w:cs="Arial"/>
          <w:sz w:val="24"/>
          <w:szCs w:val="24"/>
        </w:rPr>
        <w:t>D’une association intermédiaire (AI</w:t>
      </w:r>
      <w:proofErr w:type="gramStart"/>
      <w:r w:rsidRPr="009C0598">
        <w:rPr>
          <w:rFonts w:ascii="Arial" w:hAnsi="Arial" w:cs="Arial"/>
          <w:sz w:val="24"/>
          <w:szCs w:val="24"/>
        </w:rPr>
        <w:t>)‏</w:t>
      </w:r>
      <w:proofErr w:type="gramEnd"/>
    </w:p>
    <w:p w:rsidR="009C0598" w:rsidRPr="009C0598" w:rsidRDefault="009C0598" w:rsidP="009C0598">
      <w:pPr>
        <w:pStyle w:val="Paragraphedeliste"/>
        <w:numPr>
          <w:ilvl w:val="1"/>
          <w:numId w:val="5"/>
        </w:numPr>
        <w:spacing w:after="0" w:line="240" w:lineRule="auto"/>
        <w:rPr>
          <w:rFonts w:ascii="Arial" w:hAnsi="Arial" w:cs="Arial"/>
          <w:sz w:val="24"/>
          <w:szCs w:val="24"/>
        </w:rPr>
      </w:pPr>
      <w:r>
        <w:rPr>
          <w:rFonts w:ascii="Arial" w:hAnsi="Arial" w:cs="Arial"/>
          <w:sz w:val="24"/>
          <w:szCs w:val="24"/>
        </w:rPr>
        <w:t xml:space="preserve">D’un </w:t>
      </w:r>
      <w:r w:rsidRPr="009C0598">
        <w:rPr>
          <w:rFonts w:ascii="Arial" w:hAnsi="Arial" w:cs="Arial"/>
          <w:sz w:val="24"/>
          <w:szCs w:val="24"/>
        </w:rPr>
        <w:t>groupement d'employeurs pour l'</w:t>
      </w:r>
      <w:r>
        <w:rPr>
          <w:rFonts w:ascii="Arial" w:hAnsi="Arial" w:cs="Arial"/>
          <w:sz w:val="24"/>
          <w:szCs w:val="24"/>
        </w:rPr>
        <w:t>insertion et la qualification (</w:t>
      </w:r>
      <w:r w:rsidRPr="009C0598">
        <w:rPr>
          <w:rFonts w:ascii="Arial" w:hAnsi="Arial" w:cs="Arial"/>
          <w:sz w:val="24"/>
          <w:szCs w:val="24"/>
        </w:rPr>
        <w:t>GEIQ</w:t>
      </w:r>
      <w:proofErr w:type="gramStart"/>
      <w:r w:rsidRPr="009C0598">
        <w:rPr>
          <w:rFonts w:ascii="Arial" w:hAnsi="Arial" w:cs="Arial"/>
          <w:sz w:val="24"/>
          <w:szCs w:val="24"/>
        </w:rPr>
        <w:t>)‏</w:t>
      </w:r>
      <w:proofErr w:type="gramEnd"/>
    </w:p>
    <w:p w:rsidR="00A44345" w:rsidRPr="00A44345" w:rsidRDefault="00A44345" w:rsidP="00A44345">
      <w:pPr>
        <w:spacing w:after="0" w:line="240" w:lineRule="auto"/>
        <w:rPr>
          <w:rFonts w:ascii="Arial" w:hAnsi="Arial" w:cs="Arial"/>
          <w:sz w:val="24"/>
          <w:szCs w:val="24"/>
        </w:rPr>
      </w:pPr>
    </w:p>
    <w:p w:rsidR="009C0598" w:rsidRDefault="009C0598" w:rsidP="009C0598">
      <w:pPr>
        <w:pStyle w:val="Paragraphedeliste"/>
        <w:numPr>
          <w:ilvl w:val="0"/>
          <w:numId w:val="5"/>
        </w:numPr>
        <w:rPr>
          <w:rFonts w:ascii="Arial" w:hAnsi="Arial" w:cs="Arial"/>
          <w:b/>
          <w:i/>
          <w:color w:val="0070C0"/>
          <w:sz w:val="24"/>
          <w:szCs w:val="24"/>
        </w:rPr>
      </w:pPr>
      <w:r>
        <w:rPr>
          <w:rFonts w:ascii="Arial" w:hAnsi="Arial" w:cs="Arial"/>
          <w:b/>
          <w:i/>
          <w:color w:val="0070C0"/>
          <w:sz w:val="24"/>
          <w:szCs w:val="24"/>
        </w:rPr>
        <w:t>L’embauche directe</w:t>
      </w:r>
    </w:p>
    <w:p w:rsidR="001F3223" w:rsidRDefault="009C0598" w:rsidP="00134A8D">
      <w:pPr>
        <w:spacing w:after="0" w:line="240" w:lineRule="auto"/>
        <w:rPr>
          <w:rFonts w:ascii="Arial" w:hAnsi="Arial" w:cs="Arial"/>
          <w:sz w:val="24"/>
          <w:szCs w:val="24"/>
        </w:rPr>
      </w:pPr>
      <w:r>
        <w:rPr>
          <w:rFonts w:ascii="Arial" w:hAnsi="Arial" w:cs="Arial"/>
          <w:sz w:val="24"/>
          <w:szCs w:val="24"/>
        </w:rPr>
        <w:lastRenderedPageBreak/>
        <w:t>L’embauche directe peut être envisagée par l’entreprise (en contrats à durée de chantier, contrats de professionnalisation, CDD, CDI, alternance, etc.)</w:t>
      </w:r>
    </w:p>
    <w:p w:rsidR="009C0598" w:rsidRDefault="009C0598" w:rsidP="00134A8D">
      <w:pPr>
        <w:spacing w:after="0" w:line="240" w:lineRule="auto"/>
        <w:rPr>
          <w:rFonts w:ascii="Arial" w:hAnsi="Arial" w:cs="Arial"/>
          <w:sz w:val="24"/>
          <w:szCs w:val="24"/>
        </w:rPr>
      </w:pPr>
    </w:p>
    <w:p w:rsidR="009C0598" w:rsidRDefault="009C0598">
      <w:pPr>
        <w:rPr>
          <w:rFonts w:ascii="Arial" w:hAnsi="Arial" w:cs="Arial"/>
          <w:sz w:val="24"/>
          <w:szCs w:val="24"/>
        </w:rPr>
      </w:pPr>
      <w:r>
        <w:rPr>
          <w:rFonts w:ascii="Arial" w:hAnsi="Arial" w:cs="Arial"/>
          <w:sz w:val="24"/>
          <w:szCs w:val="24"/>
        </w:rPr>
        <w:br w:type="page"/>
      </w:r>
    </w:p>
    <w:p w:rsidR="009C0598" w:rsidRDefault="009C0598" w:rsidP="00134A8D">
      <w:pPr>
        <w:spacing w:after="0" w:line="240" w:lineRule="auto"/>
        <w:rPr>
          <w:rFonts w:ascii="Arial" w:hAnsi="Arial" w:cs="Arial"/>
          <w:sz w:val="24"/>
          <w:szCs w:val="24"/>
        </w:rPr>
      </w:pPr>
    </w:p>
    <w:sectPr w:rsidR="009C0598" w:rsidSect="00442B30">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91386"/>
    <w:multiLevelType w:val="hybridMultilevel"/>
    <w:tmpl w:val="52D40494"/>
    <w:lvl w:ilvl="0" w:tplc="1AF6D95A">
      <w:start w:val="1"/>
      <w:numFmt w:val="bullet"/>
      <w:lvlText w:val=""/>
      <w:lvlJc w:val="left"/>
      <w:pPr>
        <w:tabs>
          <w:tab w:val="num" w:pos="1068"/>
        </w:tabs>
        <w:ind w:left="1068" w:hanging="360"/>
      </w:pPr>
      <w:rPr>
        <w:rFonts w:ascii="Wingdings" w:hAnsi="Wingdings" w:hint="default"/>
      </w:rPr>
    </w:lvl>
    <w:lvl w:ilvl="1" w:tplc="0E484954" w:tentative="1">
      <w:start w:val="1"/>
      <w:numFmt w:val="bullet"/>
      <w:lvlText w:val=""/>
      <w:lvlJc w:val="left"/>
      <w:pPr>
        <w:tabs>
          <w:tab w:val="num" w:pos="1788"/>
        </w:tabs>
        <w:ind w:left="1788" w:hanging="360"/>
      </w:pPr>
      <w:rPr>
        <w:rFonts w:ascii="Wingdings" w:hAnsi="Wingdings" w:hint="default"/>
      </w:rPr>
    </w:lvl>
    <w:lvl w:ilvl="2" w:tplc="72ACA306" w:tentative="1">
      <w:start w:val="1"/>
      <w:numFmt w:val="bullet"/>
      <w:lvlText w:val=""/>
      <w:lvlJc w:val="left"/>
      <w:pPr>
        <w:tabs>
          <w:tab w:val="num" w:pos="2508"/>
        </w:tabs>
        <w:ind w:left="2508" w:hanging="360"/>
      </w:pPr>
      <w:rPr>
        <w:rFonts w:ascii="Wingdings" w:hAnsi="Wingdings" w:hint="default"/>
      </w:rPr>
    </w:lvl>
    <w:lvl w:ilvl="3" w:tplc="9B8CDB0C" w:tentative="1">
      <w:start w:val="1"/>
      <w:numFmt w:val="bullet"/>
      <w:lvlText w:val=""/>
      <w:lvlJc w:val="left"/>
      <w:pPr>
        <w:tabs>
          <w:tab w:val="num" w:pos="3228"/>
        </w:tabs>
        <w:ind w:left="3228" w:hanging="360"/>
      </w:pPr>
      <w:rPr>
        <w:rFonts w:ascii="Wingdings" w:hAnsi="Wingdings" w:hint="default"/>
      </w:rPr>
    </w:lvl>
    <w:lvl w:ilvl="4" w:tplc="EFFAE80A" w:tentative="1">
      <w:start w:val="1"/>
      <w:numFmt w:val="bullet"/>
      <w:lvlText w:val=""/>
      <w:lvlJc w:val="left"/>
      <w:pPr>
        <w:tabs>
          <w:tab w:val="num" w:pos="3948"/>
        </w:tabs>
        <w:ind w:left="3948" w:hanging="360"/>
      </w:pPr>
      <w:rPr>
        <w:rFonts w:ascii="Wingdings" w:hAnsi="Wingdings" w:hint="default"/>
      </w:rPr>
    </w:lvl>
    <w:lvl w:ilvl="5" w:tplc="4E9E5C54" w:tentative="1">
      <w:start w:val="1"/>
      <w:numFmt w:val="bullet"/>
      <w:lvlText w:val=""/>
      <w:lvlJc w:val="left"/>
      <w:pPr>
        <w:tabs>
          <w:tab w:val="num" w:pos="4668"/>
        </w:tabs>
        <w:ind w:left="4668" w:hanging="360"/>
      </w:pPr>
      <w:rPr>
        <w:rFonts w:ascii="Wingdings" w:hAnsi="Wingdings" w:hint="default"/>
      </w:rPr>
    </w:lvl>
    <w:lvl w:ilvl="6" w:tplc="8D0219FA" w:tentative="1">
      <w:start w:val="1"/>
      <w:numFmt w:val="bullet"/>
      <w:lvlText w:val=""/>
      <w:lvlJc w:val="left"/>
      <w:pPr>
        <w:tabs>
          <w:tab w:val="num" w:pos="5388"/>
        </w:tabs>
        <w:ind w:left="5388" w:hanging="360"/>
      </w:pPr>
      <w:rPr>
        <w:rFonts w:ascii="Wingdings" w:hAnsi="Wingdings" w:hint="default"/>
      </w:rPr>
    </w:lvl>
    <w:lvl w:ilvl="7" w:tplc="08620BB4" w:tentative="1">
      <w:start w:val="1"/>
      <w:numFmt w:val="bullet"/>
      <w:lvlText w:val=""/>
      <w:lvlJc w:val="left"/>
      <w:pPr>
        <w:tabs>
          <w:tab w:val="num" w:pos="6108"/>
        </w:tabs>
        <w:ind w:left="6108" w:hanging="360"/>
      </w:pPr>
      <w:rPr>
        <w:rFonts w:ascii="Wingdings" w:hAnsi="Wingdings" w:hint="default"/>
      </w:rPr>
    </w:lvl>
    <w:lvl w:ilvl="8" w:tplc="6F08152A" w:tentative="1">
      <w:start w:val="1"/>
      <w:numFmt w:val="bullet"/>
      <w:lvlText w:val=""/>
      <w:lvlJc w:val="left"/>
      <w:pPr>
        <w:tabs>
          <w:tab w:val="num" w:pos="6828"/>
        </w:tabs>
        <w:ind w:left="6828" w:hanging="360"/>
      </w:pPr>
      <w:rPr>
        <w:rFonts w:ascii="Wingdings" w:hAnsi="Wingdings" w:hint="default"/>
      </w:rPr>
    </w:lvl>
  </w:abstractNum>
  <w:abstractNum w:abstractNumId="1">
    <w:nsid w:val="18E550BB"/>
    <w:multiLevelType w:val="hybridMultilevel"/>
    <w:tmpl w:val="9C20E52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8CF2CFC"/>
    <w:multiLevelType w:val="hybridMultilevel"/>
    <w:tmpl w:val="29AC34B2"/>
    <w:lvl w:ilvl="0" w:tplc="3DD6A896">
      <w:start w:val="1"/>
      <w:numFmt w:val="bullet"/>
      <w:lvlText w:val="F"/>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881926"/>
    <w:multiLevelType w:val="hybridMultilevel"/>
    <w:tmpl w:val="9C20E52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31F4C12"/>
    <w:multiLevelType w:val="hybridMultilevel"/>
    <w:tmpl w:val="3E70B33C"/>
    <w:lvl w:ilvl="0" w:tplc="3DD6A896">
      <w:start w:val="1"/>
      <w:numFmt w:val="bullet"/>
      <w:lvlText w:val="F"/>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E91650B"/>
    <w:multiLevelType w:val="hybridMultilevel"/>
    <w:tmpl w:val="5C5A4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29E"/>
    <w:rsid w:val="00030168"/>
    <w:rsid w:val="00047653"/>
    <w:rsid w:val="0009467D"/>
    <w:rsid w:val="00134A8D"/>
    <w:rsid w:val="001F3223"/>
    <w:rsid w:val="002F6D1C"/>
    <w:rsid w:val="003174CF"/>
    <w:rsid w:val="00442B30"/>
    <w:rsid w:val="00512604"/>
    <w:rsid w:val="00686F8E"/>
    <w:rsid w:val="006A5E81"/>
    <w:rsid w:val="00723A23"/>
    <w:rsid w:val="008A4759"/>
    <w:rsid w:val="008C029E"/>
    <w:rsid w:val="009C0598"/>
    <w:rsid w:val="00A44345"/>
    <w:rsid w:val="00A63C2D"/>
    <w:rsid w:val="00C16F01"/>
    <w:rsid w:val="00F24059"/>
    <w:rsid w:val="00F952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42B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2B30"/>
    <w:rPr>
      <w:rFonts w:ascii="Tahoma" w:hAnsi="Tahoma" w:cs="Tahoma"/>
      <w:sz w:val="16"/>
      <w:szCs w:val="16"/>
    </w:rPr>
  </w:style>
  <w:style w:type="paragraph" w:styleId="NormalWeb">
    <w:name w:val="Normal (Web)"/>
    <w:basedOn w:val="Normal"/>
    <w:uiPriority w:val="99"/>
    <w:semiHidden/>
    <w:unhideWhenUsed/>
    <w:rsid w:val="00A63C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301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42B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2B30"/>
    <w:rPr>
      <w:rFonts w:ascii="Tahoma" w:hAnsi="Tahoma" w:cs="Tahoma"/>
      <w:sz w:val="16"/>
      <w:szCs w:val="16"/>
    </w:rPr>
  </w:style>
  <w:style w:type="paragraph" w:styleId="NormalWeb">
    <w:name w:val="Normal (Web)"/>
    <w:basedOn w:val="Normal"/>
    <w:uiPriority w:val="99"/>
    <w:semiHidden/>
    <w:unhideWhenUsed/>
    <w:rsid w:val="00A63C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30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542984">
      <w:bodyDiv w:val="1"/>
      <w:marLeft w:val="0"/>
      <w:marRight w:val="0"/>
      <w:marTop w:val="0"/>
      <w:marBottom w:val="0"/>
      <w:divBdr>
        <w:top w:val="none" w:sz="0" w:space="0" w:color="auto"/>
        <w:left w:val="none" w:sz="0" w:space="0" w:color="auto"/>
        <w:bottom w:val="none" w:sz="0" w:space="0" w:color="auto"/>
        <w:right w:val="none" w:sz="0" w:space="0" w:color="auto"/>
      </w:divBdr>
    </w:div>
    <w:div w:id="743533405">
      <w:bodyDiv w:val="1"/>
      <w:marLeft w:val="0"/>
      <w:marRight w:val="0"/>
      <w:marTop w:val="0"/>
      <w:marBottom w:val="0"/>
      <w:divBdr>
        <w:top w:val="none" w:sz="0" w:space="0" w:color="auto"/>
        <w:left w:val="none" w:sz="0" w:space="0" w:color="auto"/>
        <w:bottom w:val="none" w:sz="0" w:space="0" w:color="auto"/>
        <w:right w:val="none" w:sz="0" w:space="0" w:color="auto"/>
      </w:divBdr>
    </w:div>
    <w:div w:id="1166936970">
      <w:bodyDiv w:val="1"/>
      <w:marLeft w:val="0"/>
      <w:marRight w:val="0"/>
      <w:marTop w:val="0"/>
      <w:marBottom w:val="0"/>
      <w:divBdr>
        <w:top w:val="none" w:sz="0" w:space="0" w:color="auto"/>
        <w:left w:val="none" w:sz="0" w:space="0" w:color="auto"/>
        <w:bottom w:val="none" w:sz="0" w:space="0" w:color="auto"/>
        <w:right w:val="none" w:sz="0" w:space="0" w:color="auto"/>
      </w:divBdr>
    </w:div>
    <w:div w:id="1562709274">
      <w:bodyDiv w:val="1"/>
      <w:marLeft w:val="0"/>
      <w:marRight w:val="0"/>
      <w:marTop w:val="0"/>
      <w:marBottom w:val="0"/>
      <w:divBdr>
        <w:top w:val="none" w:sz="0" w:space="0" w:color="auto"/>
        <w:left w:val="none" w:sz="0" w:space="0" w:color="auto"/>
        <w:bottom w:val="none" w:sz="0" w:space="0" w:color="auto"/>
        <w:right w:val="none" w:sz="0" w:space="0" w:color="auto"/>
      </w:divBdr>
      <w:divsChild>
        <w:div w:id="1193422893">
          <w:marLeft w:val="446"/>
          <w:marRight w:val="0"/>
          <w:marTop w:val="120"/>
          <w:marBottom w:val="0"/>
          <w:divBdr>
            <w:top w:val="none" w:sz="0" w:space="0" w:color="auto"/>
            <w:left w:val="none" w:sz="0" w:space="0" w:color="auto"/>
            <w:bottom w:val="none" w:sz="0" w:space="0" w:color="auto"/>
            <w:right w:val="none" w:sz="0" w:space="0" w:color="auto"/>
          </w:divBdr>
        </w:div>
        <w:div w:id="528296707">
          <w:marLeft w:val="446"/>
          <w:marRight w:val="0"/>
          <w:marTop w:val="120"/>
          <w:marBottom w:val="0"/>
          <w:divBdr>
            <w:top w:val="none" w:sz="0" w:space="0" w:color="auto"/>
            <w:left w:val="none" w:sz="0" w:space="0" w:color="auto"/>
            <w:bottom w:val="none" w:sz="0" w:space="0" w:color="auto"/>
            <w:right w:val="none" w:sz="0" w:space="0" w:color="auto"/>
          </w:divBdr>
        </w:div>
        <w:div w:id="1081174419">
          <w:marLeft w:val="547"/>
          <w:marRight w:val="0"/>
          <w:marTop w:val="120"/>
          <w:marBottom w:val="0"/>
          <w:divBdr>
            <w:top w:val="none" w:sz="0" w:space="0" w:color="auto"/>
            <w:left w:val="none" w:sz="0" w:space="0" w:color="auto"/>
            <w:bottom w:val="none" w:sz="0" w:space="0" w:color="auto"/>
            <w:right w:val="none" w:sz="0" w:space="0" w:color="auto"/>
          </w:divBdr>
        </w:div>
        <w:div w:id="1918323466">
          <w:marLeft w:val="547"/>
          <w:marRight w:val="0"/>
          <w:marTop w:val="120"/>
          <w:marBottom w:val="0"/>
          <w:divBdr>
            <w:top w:val="none" w:sz="0" w:space="0" w:color="auto"/>
            <w:left w:val="none" w:sz="0" w:space="0" w:color="auto"/>
            <w:bottom w:val="none" w:sz="0" w:space="0" w:color="auto"/>
            <w:right w:val="none" w:sz="0" w:space="0" w:color="auto"/>
          </w:divBdr>
        </w:div>
      </w:divsChild>
    </w:div>
    <w:div w:id="209940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1CE6C-0A68-41BA-806F-8112E0664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5</Pages>
  <Words>745</Words>
  <Characters>4100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CONSEIL GENERAL DE L'ESSONNE</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MDesbouis</dc:creator>
  <cp:keywords/>
  <dc:description/>
  <cp:lastModifiedBy>MDesbouis</cp:lastModifiedBy>
  <cp:revision>7</cp:revision>
  <cp:lastPrinted>2014-11-19T16:47:00Z</cp:lastPrinted>
  <dcterms:created xsi:type="dcterms:W3CDTF">2014-11-18T14:22:00Z</dcterms:created>
  <dcterms:modified xsi:type="dcterms:W3CDTF">2014-11-20T13:49:00Z</dcterms:modified>
</cp:coreProperties>
</file>